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2C1" w:rsidRDefault="00833DD5" w:rsidP="00833DD5">
      <w:pPr>
        <w:pStyle w:val="Title"/>
      </w:pPr>
      <w:r>
        <w:t>Decisions and Action Items arising from the 2</w:t>
      </w:r>
      <w:r w:rsidRPr="00833DD5">
        <w:rPr>
          <w:vertAlign w:val="superscript"/>
        </w:rPr>
        <w:t>nd</w:t>
      </w:r>
      <w:r>
        <w:t xml:space="preserve"> ILC Baseline Technical Review</w:t>
      </w:r>
    </w:p>
    <w:p w:rsidR="00833DD5" w:rsidRDefault="00833DD5">
      <w:r>
        <w:t>BTR workshop DESY 24-28 October 2011</w:t>
      </w:r>
    </w:p>
    <w:p w:rsidR="00833DD5" w:rsidRDefault="00833DD5">
      <w:r>
        <w:t>CFS specific meeting 29 October 2011.</w:t>
      </w:r>
    </w:p>
    <w:p w:rsidR="00833DD5" w:rsidRDefault="00833DD5"/>
    <w:p w:rsidR="00833DD5" w:rsidRDefault="00833DD5" w:rsidP="00833DD5">
      <w:pPr>
        <w:pStyle w:val="Heading1"/>
      </w:pPr>
      <w:r>
        <w:t>Introduction</w:t>
      </w:r>
    </w:p>
    <w:p w:rsidR="00833DD5" w:rsidRDefault="00833DD5"/>
    <w:p w:rsidR="00833DD5" w:rsidRDefault="00833DD5">
      <w:r>
        <w:t>The 2</w:t>
      </w:r>
      <w:r w:rsidRPr="00833DD5">
        <w:rPr>
          <w:vertAlign w:val="superscript"/>
        </w:rPr>
        <w:t>nd</w:t>
      </w:r>
      <w:r>
        <w:t xml:space="preserve"> Baseline Technical Review workshop was held at DESY from 24-28</w:t>
      </w:r>
      <w:r w:rsidRPr="00833DD5">
        <w:rPr>
          <w:vertAlign w:val="superscript"/>
        </w:rPr>
        <w:t>th</w:t>
      </w:r>
      <w:r>
        <w:t xml:space="preserve"> October 2012. The workshop itself was followed by a CFS-specific meeting on the 29</w:t>
      </w:r>
      <w:r w:rsidRPr="00833DD5">
        <w:rPr>
          <w:vertAlign w:val="superscript"/>
        </w:rPr>
        <w:t>th</w:t>
      </w:r>
      <w:r>
        <w:t xml:space="preserve">. The workshop is the second in the series, and follows on from the Damping Ring BTR held in July 2011 in </w:t>
      </w:r>
      <w:proofErr w:type="spellStart"/>
      <w:r>
        <w:t>Frascati</w:t>
      </w:r>
      <w:proofErr w:type="spellEnd"/>
      <w:r>
        <w:t>.</w:t>
      </w:r>
    </w:p>
    <w:p w:rsidR="00833DD5" w:rsidRDefault="00833DD5"/>
    <w:p w:rsidR="00833DD5" w:rsidRDefault="00833DD5">
      <w:r>
        <w:t>The scope of the workshop was to review the proposed TDR baseline design for the following Accelerating Systems:</w:t>
      </w:r>
    </w:p>
    <w:p w:rsidR="00833DD5" w:rsidRDefault="00833DD5"/>
    <w:p w:rsidR="00833DD5" w:rsidRDefault="00833DD5" w:rsidP="00833DD5">
      <w:pPr>
        <w:pStyle w:val="ListParagraph"/>
        <w:numPr>
          <w:ilvl w:val="0"/>
          <w:numId w:val="1"/>
        </w:numPr>
      </w:pPr>
      <w:r>
        <w:t>Electron source</w:t>
      </w:r>
    </w:p>
    <w:p w:rsidR="00833DD5" w:rsidRDefault="00833DD5" w:rsidP="00833DD5">
      <w:pPr>
        <w:pStyle w:val="ListParagraph"/>
        <w:numPr>
          <w:ilvl w:val="0"/>
          <w:numId w:val="1"/>
        </w:numPr>
      </w:pPr>
      <w:r>
        <w:t>Positron source</w:t>
      </w:r>
    </w:p>
    <w:p w:rsidR="00833DD5" w:rsidRDefault="00833DD5" w:rsidP="00833DD5">
      <w:pPr>
        <w:pStyle w:val="ListParagraph"/>
        <w:numPr>
          <w:ilvl w:val="0"/>
          <w:numId w:val="1"/>
        </w:numPr>
      </w:pPr>
      <w:r>
        <w:t>Ring-to-Main-Linac (including bunch compressor)</w:t>
      </w:r>
    </w:p>
    <w:p w:rsidR="00833DD5" w:rsidRDefault="00833DD5" w:rsidP="00833DD5">
      <w:pPr>
        <w:pStyle w:val="ListParagraph"/>
        <w:numPr>
          <w:ilvl w:val="0"/>
          <w:numId w:val="1"/>
        </w:numPr>
      </w:pPr>
      <w:r>
        <w:t>Beam Delivery System and Machine Detector Interface.</w:t>
      </w:r>
    </w:p>
    <w:p w:rsidR="00833DD5" w:rsidRDefault="00833DD5" w:rsidP="00833DD5"/>
    <w:p w:rsidR="00833DD5" w:rsidRDefault="00833DD5" w:rsidP="00833DD5">
      <w:r>
        <w:t>In addition, more general aspects of the Central Region and global timing were reviewed. The primary goals for the review were to</w:t>
      </w:r>
    </w:p>
    <w:p w:rsidR="00833DD5" w:rsidRDefault="00833DD5" w:rsidP="00833DD5"/>
    <w:p w:rsidR="00833DD5" w:rsidRDefault="00833DD5" w:rsidP="00833DD5">
      <w:pPr>
        <w:pStyle w:val="ListParagraph"/>
        <w:numPr>
          <w:ilvl w:val="0"/>
          <w:numId w:val="2"/>
        </w:numPr>
      </w:pPr>
      <w:r>
        <w:t>Review the TDR baseline, with a focus on proposed changes with respect to the published 2007 baseline (RDR)</w:t>
      </w:r>
    </w:p>
    <w:p w:rsidR="00833DD5" w:rsidRDefault="00833DD5" w:rsidP="00833DD5">
      <w:pPr>
        <w:pStyle w:val="ListParagraph"/>
        <w:numPr>
          <w:ilvl w:val="0"/>
          <w:numId w:val="2"/>
        </w:numPr>
      </w:pPr>
      <w:r>
        <w:t>Report on the status of relevant R&amp;D (in support of the above)</w:t>
      </w:r>
    </w:p>
    <w:p w:rsidR="00833DD5" w:rsidRDefault="00833DD5" w:rsidP="00833DD5">
      <w:pPr>
        <w:pStyle w:val="ListParagraph"/>
        <w:numPr>
          <w:ilvl w:val="0"/>
          <w:numId w:val="2"/>
        </w:numPr>
      </w:pPr>
      <w:r>
        <w:t>Review the CFS requirements and interfaces</w:t>
      </w:r>
    </w:p>
    <w:p w:rsidR="00833DD5" w:rsidRDefault="00833DD5" w:rsidP="00833DD5">
      <w:pPr>
        <w:pStyle w:val="ListParagraph"/>
        <w:numPr>
          <w:ilvl w:val="0"/>
          <w:numId w:val="2"/>
        </w:numPr>
      </w:pPr>
      <w:r>
        <w:t>Prepare/identify key design documentation for EDMS (sign-off)</w:t>
      </w:r>
    </w:p>
    <w:p w:rsidR="00833DD5" w:rsidRDefault="00833DD5" w:rsidP="00833DD5">
      <w:pPr>
        <w:pStyle w:val="ListParagraph"/>
        <w:numPr>
          <w:ilvl w:val="0"/>
          <w:numId w:val="2"/>
        </w:numPr>
      </w:pPr>
      <w:r>
        <w:t>Review cost status.</w:t>
      </w:r>
    </w:p>
    <w:p w:rsidR="00833DD5" w:rsidRDefault="00833DD5" w:rsidP="00833DD5"/>
    <w:p w:rsidR="00833DD5" w:rsidRDefault="00B2635E" w:rsidP="00833DD5">
      <w:r>
        <w:t>It is not the intention of this report to be a comprehensive summary of the entire workshop material, but rather a brief synopsis of the main design decisions made, and the key identified action items (follow-up items) resulting from the workshop. This inclu</w:t>
      </w:r>
      <w:r w:rsidR="004B5ECC">
        <w:t>des a summary of the more focus</w:t>
      </w:r>
      <w:r>
        <w:t>ed discussions at the CFS meeting on the 29</w:t>
      </w:r>
      <w:r w:rsidRPr="00B2635E">
        <w:rPr>
          <w:vertAlign w:val="superscript"/>
        </w:rPr>
        <w:t>th</w:t>
      </w:r>
      <w:r>
        <w:t xml:space="preserve"> October.</w:t>
      </w:r>
    </w:p>
    <w:p w:rsidR="00B2635E" w:rsidRDefault="00B2635E" w:rsidP="00833DD5"/>
    <w:p w:rsidR="00B2635E" w:rsidRDefault="00B2635E" w:rsidP="00833DD5">
      <w:r>
        <w:t xml:space="preserve">All presented material (with the exception of the cost presentations) can be found on the </w:t>
      </w:r>
      <w:hyperlink r:id="rId8" w:history="1">
        <w:proofErr w:type="spellStart"/>
        <w:r w:rsidRPr="00B2635E">
          <w:rPr>
            <w:rStyle w:val="Hyperlink"/>
          </w:rPr>
          <w:t>ILCAgenda</w:t>
        </w:r>
        <w:proofErr w:type="spellEnd"/>
        <w:r w:rsidRPr="00B2635E">
          <w:rPr>
            <w:rStyle w:val="Hyperlink"/>
          </w:rPr>
          <w:t xml:space="preserve"> website for the workshop</w:t>
        </w:r>
      </w:hyperlink>
      <w:r>
        <w:t>.</w:t>
      </w:r>
    </w:p>
    <w:p w:rsidR="00833DD5" w:rsidRDefault="00833DD5" w:rsidP="00833DD5"/>
    <w:p w:rsidR="00833DD5" w:rsidRDefault="00B2635E" w:rsidP="00B2635E">
      <w:pPr>
        <w:pStyle w:val="Heading1"/>
      </w:pPr>
      <w:r>
        <w:t>Summary of key baseline decisions (BTR Workshop)</w:t>
      </w:r>
    </w:p>
    <w:p w:rsidR="00B2635E" w:rsidRPr="00B2635E" w:rsidRDefault="00B2635E" w:rsidP="00B2635E"/>
    <w:p w:rsidR="00B2635E" w:rsidRDefault="00412291" w:rsidP="00412291">
      <w:pPr>
        <w:pStyle w:val="ListParagraph"/>
        <w:numPr>
          <w:ilvl w:val="0"/>
          <w:numId w:val="3"/>
        </w:numPr>
      </w:pPr>
      <w:r w:rsidRPr="00412291">
        <w:rPr>
          <w:b/>
        </w:rPr>
        <w:t>Retain a two-stage bunch compressor</w:t>
      </w:r>
      <w:r w:rsidR="00D534C2">
        <w:rPr>
          <w:b/>
        </w:rPr>
        <w:br/>
      </w:r>
      <w:r w:rsidR="00D534C2">
        <w:t>Area system: RTML.</w:t>
      </w:r>
      <w:r w:rsidR="00D534C2">
        <w:br/>
        <w:t>The SB2009 baseline proposal proposed the adoption of a single-stage bunch compressor with a compression ratio of 20. The primary arguments were based on a</w:t>
      </w:r>
      <w:r w:rsidR="00980AF9">
        <w:t>n</w:t>
      </w:r>
      <w:r w:rsidR="00D534C2">
        <w:t xml:space="preserve"> already accepted reduction in the damping ring bunch length from 9mm to 6mm, and an estimated cost saving of ~37 MILCU. However, the two-stage compressor affords greater flexibility at the interaction point parameters than the single stage, allowing a higher maximum compression ratio of up to 40 (resulting in a bunch length of ~0.15 mm), albeit at the cost of a larger uncorrelated energy spread. The </w:t>
      </w:r>
      <w:r w:rsidR="00BC0A3F">
        <w:t>reported</w:t>
      </w:r>
      <w:r w:rsidR="00D534C2">
        <w:t xml:space="preserve"> benefit</w:t>
      </w:r>
      <w:r w:rsidR="00980AF9">
        <w:t xml:space="preserve"> </w:t>
      </w:r>
      <w:r w:rsidR="00BC0A3F">
        <w:t>of additional flexibility in bunch length was considered to outw</w:t>
      </w:r>
      <w:r w:rsidR="00980AF9">
        <w:t>eigh</w:t>
      </w:r>
      <w:r w:rsidR="00BC0A3F">
        <w:t xml:space="preserve"> the marginal cost saving associated with the single-stage compressor</w:t>
      </w:r>
      <w:r w:rsidR="00980AF9">
        <w:t xml:space="preserve">. With this change, beam parameter sets including the ‘low-bunch-charge’ parameter set </w:t>
      </w:r>
      <w:r w:rsidR="005A6D06">
        <w:t>presented</w:t>
      </w:r>
      <w:r w:rsidR="00980AF9">
        <w:t xml:space="preserve"> at BAW-2 in January 2011 are in principle possible but, importantly, were neither endorsed nor adopted</w:t>
      </w:r>
      <w:r w:rsidR="00BC0A3F">
        <w:t>.</w:t>
      </w:r>
      <w:r w:rsidR="00047BF4">
        <w:br/>
      </w:r>
    </w:p>
    <w:p w:rsidR="00BC0A3F" w:rsidRDefault="00BC0A3F" w:rsidP="00BC0A3F">
      <w:pPr>
        <w:pStyle w:val="ListParagraph"/>
        <w:numPr>
          <w:ilvl w:val="0"/>
          <w:numId w:val="3"/>
        </w:numPr>
      </w:pPr>
      <w:r>
        <w:rPr>
          <w:b/>
        </w:rPr>
        <w:t>Reduced field Flux Concentrator</w:t>
      </w:r>
      <w:r>
        <w:rPr>
          <w:b/>
        </w:rPr>
        <w:br/>
      </w:r>
      <w:r>
        <w:t>Area system: Positron Source</w:t>
      </w:r>
      <w:r>
        <w:br/>
        <w:t xml:space="preserve">Following review of the significant design work on a pulsed high-field flux concentrator, it was decided to retain flux concentrator as the TDR baseline, rather than </w:t>
      </w:r>
      <w:r w:rsidR="00980AF9">
        <w:t xml:space="preserve">the </w:t>
      </w:r>
      <w:r>
        <w:t xml:space="preserve">adopted more conservative quarter-wave transformer magnet.  However, the design work indicated a reduction in the field from the original design goal of 4 T to a more realistic 3.2 T to be prudent. </w:t>
      </w:r>
      <w:r w:rsidR="00293038">
        <w:t xml:space="preserve">Simulations indicate that the associated reduction in capture efficiency in on the order of a few per cent. Although it is acknowledged that there is still risk in the design, these risks are considered acceptable at this juncture, given approximate factor of two increase in capture efficiency over the QWT. The decision is further supported by the on going R&amp;D programme which aims to prototypes tests showing proof-of-principle of the design by the end of the Technical Design Phase. This R&amp;D is expected to continue in the post-TDR era. </w:t>
      </w:r>
      <w:r w:rsidR="00047BF4">
        <w:br/>
      </w:r>
    </w:p>
    <w:p w:rsidR="00293038" w:rsidRDefault="00293038" w:rsidP="00BC0A3F">
      <w:pPr>
        <w:pStyle w:val="ListParagraph"/>
        <w:numPr>
          <w:ilvl w:val="0"/>
          <w:numId w:val="3"/>
        </w:numPr>
      </w:pPr>
      <w:r>
        <w:rPr>
          <w:b/>
        </w:rPr>
        <w:t>500 MV s-band linac for auxiliary positron source</w:t>
      </w:r>
      <w:r>
        <w:rPr>
          <w:b/>
        </w:rPr>
        <w:br/>
      </w:r>
      <w:r>
        <w:t>Area system: Positron Source</w:t>
      </w:r>
      <w:r>
        <w:br/>
        <w:t xml:space="preserve">It was agreed that the conceptual design and parameters of the auxiliary source be based on that presented by M. </w:t>
      </w:r>
      <w:proofErr w:type="spellStart"/>
      <w:r>
        <w:t>Kuriki</w:t>
      </w:r>
      <w:proofErr w:type="spellEnd"/>
      <w:r w:rsidR="0091617E">
        <w:t>. The source will be based on a 500 MV s-band linac in conjunction with the same nominal source target and capture section. With the baseline 0.4X</w:t>
      </w:r>
      <w:r w:rsidR="0091617E" w:rsidRPr="0091617E">
        <w:rPr>
          <w:vertAlign w:val="subscript"/>
        </w:rPr>
        <w:t>0</w:t>
      </w:r>
      <w:r w:rsidR="0091617E">
        <w:t xml:space="preserve"> titanium alloy target, the source should be capable of production ~2% single bunch charge. It was noted that replacing this with 3X</w:t>
      </w:r>
      <w:r w:rsidR="0091617E" w:rsidRPr="0091617E">
        <w:rPr>
          <w:vertAlign w:val="subscript"/>
        </w:rPr>
        <w:t>0</w:t>
      </w:r>
      <w:r w:rsidR="0091617E">
        <w:t xml:space="preserve"> tungsten target increases the yield to ~20%, which would be more useful for commissioning etc. Ideas of incorporating both targets into the system should be studied. Commissioning and operation scenarios studies with these two sources remains an action item.</w:t>
      </w:r>
      <w:r w:rsidR="00047BF4">
        <w:br/>
      </w:r>
    </w:p>
    <w:p w:rsidR="0091617E" w:rsidRDefault="0091617E" w:rsidP="00BC0A3F">
      <w:pPr>
        <w:pStyle w:val="ListParagraph"/>
        <w:numPr>
          <w:ilvl w:val="0"/>
          <w:numId w:val="3"/>
        </w:numPr>
      </w:pPr>
      <w:r>
        <w:rPr>
          <w:b/>
        </w:rPr>
        <w:t>Include e+/e- production overhead (margin) in specification for RF</w:t>
      </w:r>
      <w:r>
        <w:rPr>
          <w:b/>
        </w:rPr>
        <w:br/>
      </w:r>
      <w:r>
        <w:t>Area systems: Electron Source, Positron Source</w:t>
      </w:r>
      <w:r>
        <w:br/>
        <w:t>Both electron and positron sources are spec’d to produce a factor 1.5 of the required single bunch charge</w:t>
      </w:r>
      <w:r w:rsidR="00683530">
        <w:t xml:space="preserve"> at the entrance to the damping rings. This margin is to allow for unknown losses in the real machine.  In keeping with this philosophy, it was noted that the power requirements for the source RF – and in particular for the 5 GeV SCRF booster linacs – should be consistent with this over-production (i.e. a factor 1.5 in beam current).</w:t>
      </w:r>
      <w:r w:rsidR="00047BF4">
        <w:br/>
      </w:r>
    </w:p>
    <w:p w:rsidR="00D534C2" w:rsidRDefault="00683530" w:rsidP="00D534C2">
      <w:pPr>
        <w:pStyle w:val="ListParagraph"/>
        <w:numPr>
          <w:ilvl w:val="0"/>
          <w:numId w:val="3"/>
        </w:numPr>
      </w:pPr>
      <w:r w:rsidRPr="00683530">
        <w:rPr>
          <w:b/>
        </w:rPr>
        <w:t>Choice of HLRF system for 5 GeV Boosters</w:t>
      </w:r>
      <w:r w:rsidRPr="00683530">
        <w:rPr>
          <w:b/>
        </w:rPr>
        <w:br/>
      </w:r>
      <w:r>
        <w:t>Area systems: Electron Source, Positron Source</w:t>
      </w:r>
      <w:r>
        <w:br/>
        <w:t xml:space="preserve">It was agreed that KCS would not be used for the 5 GeV booster linacs, but either the RDR solution or possibly DRFS.  This decision is primarily based on </w:t>
      </w:r>
      <w:r w:rsidR="00FE1886">
        <w:t xml:space="preserve">the short length of these linacs and </w:t>
      </w:r>
      <w:r>
        <w:t>the existence of a service tunnel in Central Region</w:t>
      </w:r>
      <w:r w:rsidR="00FE1886">
        <w:t xml:space="preserve"> (and corresponding lack of surface buildings)</w:t>
      </w:r>
      <w:r>
        <w:t xml:space="preserve">. </w:t>
      </w:r>
      <w:r w:rsidR="00047BF4">
        <w:br/>
      </w:r>
    </w:p>
    <w:p w:rsidR="004315C0" w:rsidRDefault="00683530" w:rsidP="004315C0">
      <w:pPr>
        <w:pStyle w:val="ListParagraph"/>
        <w:numPr>
          <w:ilvl w:val="0"/>
          <w:numId w:val="3"/>
        </w:numPr>
      </w:pPr>
      <w:r>
        <w:rPr>
          <w:b/>
        </w:rPr>
        <w:t>Adjustment of the damping ring transfer lines (Central Region)</w:t>
      </w:r>
      <w:r>
        <w:rPr>
          <w:b/>
        </w:rPr>
        <w:br/>
      </w:r>
      <w:r>
        <w:t>Area systems: Positron Source, Electron Source, RTML</w:t>
      </w:r>
      <w:r>
        <w:br/>
        <w:t xml:space="preserve">In order to avoid interference with the main dumps it was agreed to lengthen the damping ring transfer tunnels and their associated </w:t>
      </w:r>
      <w:proofErr w:type="spellStart"/>
      <w:r>
        <w:t>beamlines</w:t>
      </w:r>
      <w:proofErr w:type="spellEnd"/>
      <w:r>
        <w:t xml:space="preserve"> (PLTR, ELTR, PRT</w:t>
      </w:r>
      <w:r w:rsidR="00D56486">
        <w:t>L, ERT</w:t>
      </w:r>
      <w:r>
        <w:t>L</w:t>
      </w:r>
      <w:r w:rsidR="00D56486">
        <w:t>) and thus move the junction with the primary BDS tunnel(s) further upstream. The adjustment is achieved by reducing the spin-constrained initial bend in the RLTR and PLTR from 5</w:t>
      </w:r>
      <w:r w:rsidR="00D56486" w:rsidRPr="00D56486">
        <w:t xml:space="preserve"> ×</w:t>
      </w:r>
      <w:r w:rsidR="00D56486">
        <w:t>7.93 to 3</w:t>
      </w:r>
      <w:r w:rsidR="00D56486" w:rsidRPr="00D56486">
        <w:t>×</w:t>
      </w:r>
      <w:r w:rsidR="00D56486">
        <w:t>7.93 degrees. This increases the overall beamline lengths (section “D”) by ~90m. This modification, linked with other detailed design changes</w:t>
      </w:r>
      <w:r w:rsidR="00FE1886">
        <w:t>,</w:t>
      </w:r>
      <w:r w:rsidR="00D56486">
        <w:t xml:space="preserve"> will allow the reduction of a sizable cavern in the area of the BDS main dumps, which is likely to compensate for the additional costs of the lengthened </w:t>
      </w:r>
      <w:r w:rsidR="00230184">
        <w:t>tunnels/</w:t>
      </w:r>
      <w:proofErr w:type="spellStart"/>
      <w:r w:rsidR="00D56486">
        <w:t>beamlines</w:t>
      </w:r>
      <w:proofErr w:type="spellEnd"/>
      <w:r w:rsidR="00047BF4">
        <w:t xml:space="preserve">. Two further benefits are: the damping ring moves further away from the detector hall; the additional beamline length can be used to accommodate other subsystems such as a positron spin-flipping system, </w:t>
      </w:r>
      <w:r w:rsidR="00230184">
        <w:t>and/</w:t>
      </w:r>
      <w:r w:rsidR="00047BF4">
        <w:t>or timing correction chicanes. Further details were discussed during the CFS meeting on the 29</w:t>
      </w:r>
      <w:r w:rsidR="00047BF4" w:rsidRPr="00047BF4">
        <w:rPr>
          <w:vertAlign w:val="superscript"/>
        </w:rPr>
        <w:t>th</w:t>
      </w:r>
      <w:r w:rsidR="00047BF4">
        <w:t>.</w:t>
      </w:r>
      <w:r w:rsidR="004315C0">
        <w:br/>
      </w:r>
    </w:p>
    <w:p w:rsidR="00160C1E" w:rsidRDefault="004315C0" w:rsidP="00160C1E">
      <w:pPr>
        <w:pStyle w:val="ListParagraph"/>
        <w:numPr>
          <w:ilvl w:val="0"/>
          <w:numId w:val="3"/>
        </w:numPr>
      </w:pPr>
      <w:r>
        <w:rPr>
          <w:b/>
        </w:rPr>
        <w:t>Physics related instrumentation</w:t>
      </w:r>
      <w:r>
        <w:rPr>
          <w:b/>
        </w:rPr>
        <w:br/>
      </w:r>
      <w:r>
        <w:t>Area system: BDS/MDI</w:t>
      </w:r>
      <w:r>
        <w:br/>
        <w:t xml:space="preserve">On review, it was agreed to incorporate the required chicane systems for </w:t>
      </w:r>
      <w:proofErr w:type="spellStart"/>
      <w:r>
        <w:t>polarimetry</w:t>
      </w:r>
      <w:proofErr w:type="spellEnd"/>
      <w:r>
        <w:t>, spectrometry, both upstream and downstream of the IR. The separation of the polarimeter chicane from that required for the laser-wire emittance measure</w:t>
      </w:r>
      <w:r w:rsidR="00160C1E">
        <w:t>ment station was also accepted.</w:t>
      </w:r>
      <w:r w:rsidR="00160C1E">
        <w:br/>
      </w:r>
    </w:p>
    <w:p w:rsidR="00160C1E" w:rsidRDefault="00160C1E" w:rsidP="00160C1E">
      <w:pPr>
        <w:pStyle w:val="ListParagraph"/>
        <w:numPr>
          <w:ilvl w:val="0"/>
          <w:numId w:val="3"/>
        </w:numPr>
      </w:pPr>
      <w:r>
        <w:rPr>
          <w:b/>
        </w:rPr>
        <w:t>BDS/FFS length</w:t>
      </w:r>
      <w:r>
        <w:rPr>
          <w:b/>
        </w:rPr>
        <w:br/>
      </w:r>
      <w:r>
        <w:t>Area system: BDS/MDI</w:t>
      </w:r>
      <w:r>
        <w:br/>
        <w:t>The current  length of the BDS/FFS has been frozen to the current (CFS) value, to allow central region design work to progress. The Final Focus optics work foreseen for early 2012 should maintain this length</w:t>
      </w:r>
      <w:r w:rsidR="00E04FCD">
        <w:t>.</w:t>
      </w:r>
    </w:p>
    <w:p w:rsidR="00E04FCD" w:rsidRDefault="00E04FCD" w:rsidP="00E04FCD"/>
    <w:p w:rsidR="00E04FCD" w:rsidRDefault="00E04FCD" w:rsidP="00E04FCD">
      <w:pPr>
        <w:pStyle w:val="Heading1"/>
      </w:pPr>
    </w:p>
    <w:p w:rsidR="00E04FCD" w:rsidRDefault="00E04FCD" w:rsidP="00E04FCD">
      <w:pPr>
        <w:pStyle w:val="Heading1"/>
      </w:pPr>
      <w:r>
        <w:t xml:space="preserve">Other </w:t>
      </w:r>
      <w:r w:rsidR="005521C0">
        <w:t xml:space="preserve">key </w:t>
      </w:r>
      <w:r>
        <w:t>issues</w:t>
      </w:r>
    </w:p>
    <w:p w:rsidR="00E04FCD" w:rsidRPr="00E04FCD" w:rsidRDefault="00E04FCD" w:rsidP="00E04FCD"/>
    <w:p w:rsidR="00E04FCD" w:rsidRDefault="00E04FCD" w:rsidP="00E04FCD">
      <w:pPr>
        <w:pStyle w:val="ListParagraph"/>
        <w:numPr>
          <w:ilvl w:val="0"/>
          <w:numId w:val="4"/>
        </w:numPr>
      </w:pPr>
      <w:r>
        <w:rPr>
          <w:b/>
        </w:rPr>
        <w:t>Global timing:</w:t>
      </w:r>
      <w:r>
        <w:t xml:space="preserve"> the current path length </w:t>
      </w:r>
      <w:r w:rsidRPr="00E04FCD">
        <w:rPr>
          <w:i/>
        </w:rPr>
        <w:t>error</w:t>
      </w:r>
      <w:r>
        <w:t xml:space="preserve"> </w:t>
      </w:r>
      <w:r w:rsidRPr="00E04FCD">
        <w:t>for</w:t>
      </w:r>
      <w:r>
        <w:t xml:space="preserve"> positron production is estimated to be approximately ~300m, but this will likely change in January 2012 after the Main Linac BTR (KEK), when the exact length of the linac will be established. A timing adjustment chicane is required both for an overall static adjustment (final correction) of the lattice path length, and also for dynamically deal with small variations in path length arising from environmental considerations (diurnal changes in temperature, tides, etc.). </w:t>
      </w:r>
      <w:r w:rsidR="00FE1886">
        <w:t>For</w:t>
      </w:r>
      <w:r>
        <w:t xml:space="preserve"> </w:t>
      </w:r>
      <w:r w:rsidR="00FE1886">
        <w:t xml:space="preserve">~ centimetre </w:t>
      </w:r>
      <w:r>
        <w:t>scale corrections, room is availabl</w:t>
      </w:r>
      <w:r w:rsidR="00FE1886">
        <w:t>e</w:t>
      </w:r>
      <w:r>
        <w:t xml:space="preserve"> for a chicane system (or systems) in the positron source and should be relatively straightforward. An exact definition of the timing constraints and tuning required remains to be developed. This will necessarily include understand</w:t>
      </w:r>
      <w:r w:rsidR="00FE1886">
        <w:t>ing</w:t>
      </w:r>
      <w:r>
        <w:t xml:space="preserve"> the constraints on the location of the IP in the detector, as well as an estimate of the overall installation accuracy achievable (i.e. survey accuracy of the path length). </w:t>
      </w:r>
      <w:r>
        <w:br/>
      </w:r>
    </w:p>
    <w:p w:rsidR="00E04FCD" w:rsidRDefault="00E04FCD" w:rsidP="00E04FCD">
      <w:pPr>
        <w:pStyle w:val="ListParagraph"/>
        <w:numPr>
          <w:ilvl w:val="0"/>
          <w:numId w:val="4"/>
        </w:numPr>
      </w:pPr>
      <w:r>
        <w:rPr>
          <w:b/>
        </w:rPr>
        <w:t>Operations and commissioning:</w:t>
      </w:r>
      <w:r w:rsidR="005521C0">
        <w:t xml:space="preserve"> several issues were raised at the BTR which indicate a strong need to review the operational aspects of the machine, and in particular early commissioning. Specific examples where the specification and use of the numerous dumps systems, laser based and other instrumentation, and the low-charge auxiliary positron source. It was agreed to set-up an working group to study these issues towards the end of this year. </w:t>
      </w:r>
    </w:p>
    <w:p w:rsidR="00E04FCD" w:rsidRDefault="00E04FCD" w:rsidP="00E04FCD"/>
    <w:p w:rsidR="004315C0" w:rsidRDefault="004315C0" w:rsidP="004315C0">
      <w:pPr>
        <w:sectPr w:rsidR="004315C0" w:rsidSect="00F83FFA">
          <w:headerReference w:type="default" r:id="rId9"/>
          <w:pgSz w:w="11900" w:h="16840"/>
          <w:pgMar w:top="1440" w:right="1800" w:bottom="1440" w:left="1800" w:header="708" w:footer="708" w:gutter="0"/>
          <w:cols w:space="708"/>
        </w:sectPr>
      </w:pPr>
    </w:p>
    <w:p w:rsidR="00683530" w:rsidRDefault="00047BF4" w:rsidP="00047BF4">
      <w:pPr>
        <w:pStyle w:val="Heading1"/>
      </w:pPr>
      <w:r>
        <w:t>Action Item</w:t>
      </w:r>
      <w:r w:rsidR="009E0F5C">
        <w:t>s</w:t>
      </w:r>
    </w:p>
    <w:tbl>
      <w:tblPr>
        <w:tblStyle w:val="TableGrid"/>
        <w:tblW w:w="14142" w:type="dxa"/>
        <w:tblLayout w:type="fixed"/>
        <w:tblLook w:val="04A0" w:firstRow="1" w:lastRow="0" w:firstColumn="1" w:lastColumn="0" w:noHBand="0" w:noVBand="1"/>
      </w:tblPr>
      <w:tblGrid>
        <w:gridCol w:w="570"/>
        <w:gridCol w:w="1748"/>
        <w:gridCol w:w="4878"/>
        <w:gridCol w:w="1984"/>
        <w:gridCol w:w="1701"/>
        <w:gridCol w:w="3261"/>
      </w:tblGrid>
      <w:tr w:rsidR="00CC3B2C" w:rsidRPr="00CC3B2C" w:rsidTr="00CC3B2C">
        <w:tc>
          <w:tcPr>
            <w:tcW w:w="570" w:type="dxa"/>
          </w:tcPr>
          <w:p w:rsidR="00CC3B2C" w:rsidRPr="00CC3B2C" w:rsidRDefault="00CC3B2C" w:rsidP="009E0F5C">
            <w:pPr>
              <w:rPr>
                <w:sz w:val="20"/>
                <w:szCs w:val="20"/>
              </w:rPr>
            </w:pPr>
            <w:r w:rsidRPr="00CC3B2C">
              <w:rPr>
                <w:sz w:val="20"/>
                <w:szCs w:val="20"/>
              </w:rPr>
              <w:t>1</w:t>
            </w:r>
          </w:p>
        </w:tc>
        <w:tc>
          <w:tcPr>
            <w:tcW w:w="1748" w:type="dxa"/>
          </w:tcPr>
          <w:p w:rsidR="00CC3B2C" w:rsidRPr="00CC3B2C" w:rsidRDefault="00CC3B2C" w:rsidP="009E0F5C">
            <w:pPr>
              <w:rPr>
                <w:sz w:val="20"/>
                <w:szCs w:val="20"/>
              </w:rPr>
            </w:pPr>
            <w:r w:rsidRPr="00CC3B2C">
              <w:rPr>
                <w:sz w:val="20"/>
                <w:szCs w:val="20"/>
              </w:rPr>
              <w:t>Update top-level parameters</w:t>
            </w:r>
          </w:p>
        </w:tc>
        <w:tc>
          <w:tcPr>
            <w:tcW w:w="4878" w:type="dxa"/>
          </w:tcPr>
          <w:p w:rsidR="00CC3B2C" w:rsidRPr="00CC3B2C" w:rsidRDefault="00CC3B2C" w:rsidP="009E0F5C">
            <w:pPr>
              <w:rPr>
                <w:sz w:val="20"/>
                <w:szCs w:val="20"/>
              </w:rPr>
            </w:pPr>
            <w:r w:rsidRPr="00CC3B2C">
              <w:rPr>
                <w:sz w:val="20"/>
                <w:szCs w:val="20"/>
              </w:rPr>
              <w:t xml:space="preserve">Make </w:t>
            </w:r>
            <w:r w:rsidRPr="00CC3B2C">
              <w:rPr>
                <w:rFonts w:ascii="Symbol" w:hAnsi="Symbol"/>
                <w:sz w:val="20"/>
                <w:szCs w:val="20"/>
              </w:rPr>
              <w:t></w:t>
            </w:r>
            <w:r w:rsidRPr="00CC3B2C">
              <w:rPr>
                <w:i/>
                <w:sz w:val="20"/>
                <w:szCs w:val="20"/>
              </w:rPr>
              <w:t>p</w:t>
            </w:r>
            <w:r w:rsidRPr="00CC3B2C">
              <w:rPr>
                <w:sz w:val="20"/>
                <w:szCs w:val="20"/>
              </w:rPr>
              <w:t>/</w:t>
            </w:r>
            <w:r w:rsidRPr="00CC3B2C">
              <w:rPr>
                <w:i/>
                <w:sz w:val="20"/>
                <w:szCs w:val="20"/>
              </w:rPr>
              <w:t>p</w:t>
            </w:r>
            <w:r w:rsidRPr="00CC3B2C">
              <w:rPr>
                <w:sz w:val="20"/>
                <w:szCs w:val="20"/>
              </w:rPr>
              <w:t xml:space="preserve"> consistent with two-stage compressor and FC undulator parameters</w:t>
            </w:r>
          </w:p>
        </w:tc>
        <w:tc>
          <w:tcPr>
            <w:tcW w:w="1984" w:type="dxa"/>
          </w:tcPr>
          <w:p w:rsidR="00CC3B2C" w:rsidRPr="00CC3B2C" w:rsidRDefault="00CC3B2C" w:rsidP="009E0F5C">
            <w:pPr>
              <w:rPr>
                <w:sz w:val="20"/>
                <w:szCs w:val="20"/>
              </w:rPr>
            </w:pPr>
            <w:r w:rsidRPr="00CC3B2C">
              <w:rPr>
                <w:sz w:val="20"/>
                <w:szCs w:val="20"/>
              </w:rPr>
              <w:t xml:space="preserve">Walker, List, </w:t>
            </w:r>
            <w:proofErr w:type="spellStart"/>
            <w:r w:rsidRPr="00CC3B2C">
              <w:rPr>
                <w:sz w:val="20"/>
                <w:szCs w:val="20"/>
              </w:rPr>
              <w:t>Gai</w:t>
            </w:r>
            <w:proofErr w:type="spellEnd"/>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2</w:t>
            </w:r>
          </w:p>
        </w:tc>
        <w:tc>
          <w:tcPr>
            <w:tcW w:w="1748" w:type="dxa"/>
          </w:tcPr>
          <w:p w:rsidR="00CC3B2C" w:rsidRPr="00CC3B2C" w:rsidRDefault="00CC3B2C" w:rsidP="009E0F5C">
            <w:pPr>
              <w:rPr>
                <w:sz w:val="20"/>
                <w:szCs w:val="20"/>
              </w:rPr>
            </w:pPr>
          </w:p>
        </w:tc>
        <w:tc>
          <w:tcPr>
            <w:tcW w:w="4878" w:type="dxa"/>
          </w:tcPr>
          <w:p w:rsidR="00CC3B2C" w:rsidRPr="00CC3B2C" w:rsidRDefault="00CC3B2C" w:rsidP="009E0F5C">
            <w:pPr>
              <w:rPr>
                <w:sz w:val="20"/>
                <w:szCs w:val="20"/>
              </w:rPr>
            </w:pPr>
            <w:r w:rsidRPr="00CC3B2C">
              <w:rPr>
                <w:sz w:val="20"/>
                <w:szCs w:val="20"/>
              </w:rPr>
              <w:t>Include shifted waist enhancement in luminosities</w:t>
            </w:r>
          </w:p>
        </w:tc>
        <w:tc>
          <w:tcPr>
            <w:tcW w:w="1984" w:type="dxa"/>
          </w:tcPr>
          <w:p w:rsidR="00CC3B2C" w:rsidRPr="00CC3B2C" w:rsidRDefault="00CC3B2C" w:rsidP="00DB51BE">
            <w:pPr>
              <w:rPr>
                <w:sz w:val="20"/>
                <w:szCs w:val="20"/>
              </w:rPr>
            </w:pPr>
            <w:r w:rsidRPr="00CC3B2C">
              <w:rPr>
                <w:sz w:val="20"/>
                <w:szCs w:val="20"/>
              </w:rPr>
              <w:t>Walker</w:t>
            </w:r>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r w:rsidRPr="00CC3B2C">
              <w:rPr>
                <w:i/>
                <w:sz w:val="20"/>
                <w:szCs w:val="20"/>
              </w:rPr>
              <w:t>Expect ~10% gain in L</w:t>
            </w:r>
          </w:p>
        </w:tc>
      </w:tr>
      <w:tr w:rsidR="00CC3B2C" w:rsidRPr="00CC3B2C" w:rsidTr="00CC3B2C">
        <w:tc>
          <w:tcPr>
            <w:tcW w:w="570" w:type="dxa"/>
          </w:tcPr>
          <w:p w:rsidR="00CC3B2C" w:rsidRPr="00CC3B2C" w:rsidRDefault="00CC3B2C" w:rsidP="009E0F5C">
            <w:pPr>
              <w:rPr>
                <w:sz w:val="20"/>
                <w:szCs w:val="20"/>
              </w:rPr>
            </w:pPr>
            <w:r w:rsidRPr="00CC3B2C">
              <w:rPr>
                <w:sz w:val="20"/>
                <w:szCs w:val="20"/>
              </w:rPr>
              <w:t>3</w:t>
            </w:r>
          </w:p>
        </w:tc>
        <w:tc>
          <w:tcPr>
            <w:tcW w:w="1748" w:type="dxa"/>
          </w:tcPr>
          <w:p w:rsidR="00CC3B2C" w:rsidRPr="00CC3B2C" w:rsidRDefault="00CC3B2C" w:rsidP="009E0F5C">
            <w:pPr>
              <w:rPr>
                <w:sz w:val="20"/>
                <w:szCs w:val="20"/>
              </w:rPr>
            </w:pPr>
            <w:r w:rsidRPr="00CC3B2C">
              <w:rPr>
                <w:sz w:val="20"/>
                <w:szCs w:val="20"/>
              </w:rPr>
              <w:t>Update machine parameters</w:t>
            </w:r>
          </w:p>
        </w:tc>
        <w:tc>
          <w:tcPr>
            <w:tcW w:w="4878" w:type="dxa"/>
          </w:tcPr>
          <w:p w:rsidR="00CC3B2C" w:rsidRPr="00CC3B2C" w:rsidRDefault="00CC3B2C" w:rsidP="009E0F5C">
            <w:pPr>
              <w:rPr>
                <w:sz w:val="20"/>
                <w:szCs w:val="20"/>
              </w:rPr>
            </w:pPr>
            <w:r w:rsidRPr="00CC3B2C">
              <w:rPr>
                <w:sz w:val="20"/>
                <w:szCs w:val="20"/>
              </w:rPr>
              <w:t>Consolidate/update compressor parameters for two-stage system</w:t>
            </w:r>
          </w:p>
        </w:tc>
        <w:tc>
          <w:tcPr>
            <w:tcW w:w="1984" w:type="dxa"/>
          </w:tcPr>
          <w:p w:rsidR="00CC3B2C" w:rsidRPr="00CC3B2C" w:rsidRDefault="00CC3B2C" w:rsidP="009E0F5C">
            <w:pPr>
              <w:rPr>
                <w:sz w:val="20"/>
                <w:szCs w:val="20"/>
              </w:rPr>
            </w:pPr>
            <w:proofErr w:type="spellStart"/>
            <w:r w:rsidRPr="00CC3B2C">
              <w:rPr>
                <w:sz w:val="20"/>
                <w:szCs w:val="20"/>
              </w:rPr>
              <w:t>Solyak</w:t>
            </w:r>
            <w:proofErr w:type="spellEnd"/>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4</w:t>
            </w:r>
          </w:p>
        </w:tc>
        <w:tc>
          <w:tcPr>
            <w:tcW w:w="1748" w:type="dxa"/>
          </w:tcPr>
          <w:p w:rsidR="00CC3B2C" w:rsidRPr="00CC3B2C" w:rsidRDefault="00CC3B2C" w:rsidP="009E0F5C">
            <w:pPr>
              <w:rPr>
                <w:sz w:val="20"/>
                <w:szCs w:val="20"/>
              </w:rPr>
            </w:pPr>
          </w:p>
        </w:tc>
        <w:tc>
          <w:tcPr>
            <w:tcW w:w="4878" w:type="dxa"/>
          </w:tcPr>
          <w:p w:rsidR="00CC3B2C" w:rsidRPr="00CC3B2C" w:rsidRDefault="00CC3B2C" w:rsidP="009E0F5C">
            <w:pPr>
              <w:rPr>
                <w:sz w:val="20"/>
                <w:szCs w:val="20"/>
              </w:rPr>
            </w:pPr>
            <w:r w:rsidRPr="00CC3B2C">
              <w:rPr>
                <w:sz w:val="20"/>
                <w:szCs w:val="20"/>
              </w:rPr>
              <w:t>Consolidate positron source parameters for 3.2 T Flux Concentrator</w:t>
            </w:r>
          </w:p>
        </w:tc>
        <w:tc>
          <w:tcPr>
            <w:tcW w:w="1984" w:type="dxa"/>
          </w:tcPr>
          <w:p w:rsidR="00CC3B2C" w:rsidRPr="00CC3B2C" w:rsidRDefault="00CC3B2C" w:rsidP="009E0F5C">
            <w:pPr>
              <w:rPr>
                <w:sz w:val="20"/>
                <w:szCs w:val="20"/>
              </w:rPr>
            </w:pPr>
            <w:proofErr w:type="spellStart"/>
            <w:r w:rsidRPr="00CC3B2C">
              <w:rPr>
                <w:sz w:val="20"/>
                <w:szCs w:val="20"/>
              </w:rPr>
              <w:t>Gai</w:t>
            </w:r>
            <w:proofErr w:type="spellEnd"/>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5</w:t>
            </w:r>
          </w:p>
        </w:tc>
        <w:tc>
          <w:tcPr>
            <w:tcW w:w="1748" w:type="dxa"/>
          </w:tcPr>
          <w:p w:rsidR="00CC3B2C" w:rsidRPr="00CC3B2C" w:rsidRDefault="00CC3B2C" w:rsidP="009E0F5C">
            <w:pPr>
              <w:rPr>
                <w:sz w:val="20"/>
                <w:szCs w:val="20"/>
              </w:rPr>
            </w:pPr>
          </w:p>
        </w:tc>
        <w:tc>
          <w:tcPr>
            <w:tcW w:w="4878" w:type="dxa"/>
          </w:tcPr>
          <w:p w:rsidR="00CC3B2C" w:rsidRPr="00CC3B2C" w:rsidRDefault="00CC3B2C" w:rsidP="009E0F5C">
            <w:pPr>
              <w:rPr>
                <w:sz w:val="20"/>
                <w:szCs w:val="20"/>
              </w:rPr>
            </w:pPr>
            <w:r w:rsidRPr="00CC3B2C">
              <w:rPr>
                <w:sz w:val="20"/>
                <w:szCs w:val="20"/>
              </w:rPr>
              <w:t>Update/confirm Damping Ring acceptance parameters</w:t>
            </w:r>
          </w:p>
        </w:tc>
        <w:tc>
          <w:tcPr>
            <w:tcW w:w="1984" w:type="dxa"/>
          </w:tcPr>
          <w:p w:rsidR="00CC3B2C" w:rsidRPr="00CC3B2C" w:rsidRDefault="00CC3B2C" w:rsidP="009E0F5C">
            <w:pPr>
              <w:rPr>
                <w:sz w:val="20"/>
                <w:szCs w:val="20"/>
              </w:rPr>
            </w:pPr>
            <w:proofErr w:type="spellStart"/>
            <w:r w:rsidRPr="00CC3B2C">
              <w:rPr>
                <w:sz w:val="20"/>
                <w:szCs w:val="20"/>
              </w:rPr>
              <w:t>Guiducci</w:t>
            </w:r>
            <w:proofErr w:type="spellEnd"/>
            <w:r w:rsidRPr="00CC3B2C">
              <w:rPr>
                <w:sz w:val="20"/>
                <w:szCs w:val="20"/>
              </w:rPr>
              <w:t xml:space="preserve">, Palmer, </w:t>
            </w:r>
            <w:proofErr w:type="spellStart"/>
            <w:r w:rsidRPr="00CC3B2C">
              <w:rPr>
                <w:sz w:val="20"/>
                <w:szCs w:val="20"/>
              </w:rPr>
              <w:t>Gai</w:t>
            </w:r>
            <w:proofErr w:type="spellEnd"/>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6</w:t>
            </w:r>
          </w:p>
        </w:tc>
        <w:tc>
          <w:tcPr>
            <w:tcW w:w="1748" w:type="dxa"/>
          </w:tcPr>
          <w:p w:rsidR="00CC3B2C" w:rsidRPr="00CC3B2C" w:rsidRDefault="00CC3B2C" w:rsidP="009E0F5C">
            <w:pPr>
              <w:rPr>
                <w:sz w:val="20"/>
                <w:szCs w:val="20"/>
              </w:rPr>
            </w:pPr>
          </w:p>
        </w:tc>
        <w:tc>
          <w:tcPr>
            <w:tcW w:w="4878" w:type="dxa"/>
          </w:tcPr>
          <w:p w:rsidR="00CC3B2C" w:rsidRPr="00CC3B2C" w:rsidRDefault="00CC3B2C" w:rsidP="009E0F5C">
            <w:pPr>
              <w:rPr>
                <w:sz w:val="20"/>
                <w:szCs w:val="20"/>
              </w:rPr>
            </w:pPr>
            <w:r w:rsidRPr="00CC3B2C">
              <w:rPr>
                <w:sz w:val="20"/>
                <w:szCs w:val="20"/>
              </w:rPr>
              <w:t>Review and update source RF parameters (gradient etc.)</w:t>
            </w:r>
          </w:p>
        </w:tc>
        <w:tc>
          <w:tcPr>
            <w:tcW w:w="1984" w:type="dxa"/>
          </w:tcPr>
          <w:p w:rsidR="00CC3B2C" w:rsidRPr="00CC3B2C" w:rsidRDefault="00CC3B2C" w:rsidP="009E0F5C">
            <w:pPr>
              <w:rPr>
                <w:sz w:val="20"/>
                <w:szCs w:val="20"/>
              </w:rPr>
            </w:pPr>
            <w:r w:rsidRPr="00CC3B2C">
              <w:rPr>
                <w:sz w:val="20"/>
                <w:szCs w:val="20"/>
              </w:rPr>
              <w:t xml:space="preserve">Walker, </w:t>
            </w:r>
            <w:proofErr w:type="spellStart"/>
            <w:r w:rsidRPr="00CC3B2C">
              <w:rPr>
                <w:sz w:val="20"/>
                <w:szCs w:val="20"/>
              </w:rPr>
              <w:t>Gai</w:t>
            </w:r>
            <w:proofErr w:type="spellEnd"/>
            <w:r w:rsidRPr="00CC3B2C">
              <w:rPr>
                <w:sz w:val="20"/>
                <w:szCs w:val="20"/>
              </w:rPr>
              <w:t>, Sheppard</w:t>
            </w:r>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7</w:t>
            </w:r>
          </w:p>
        </w:tc>
        <w:tc>
          <w:tcPr>
            <w:tcW w:w="1748" w:type="dxa"/>
          </w:tcPr>
          <w:p w:rsidR="00CC3B2C" w:rsidRPr="00CC3B2C" w:rsidRDefault="00CC3B2C" w:rsidP="009E0F5C">
            <w:pPr>
              <w:rPr>
                <w:sz w:val="20"/>
                <w:szCs w:val="20"/>
              </w:rPr>
            </w:pPr>
            <w:r w:rsidRPr="00CC3B2C">
              <w:rPr>
                <w:sz w:val="20"/>
                <w:szCs w:val="20"/>
              </w:rPr>
              <w:t>Lattice design work</w:t>
            </w:r>
          </w:p>
        </w:tc>
        <w:tc>
          <w:tcPr>
            <w:tcW w:w="4878" w:type="dxa"/>
          </w:tcPr>
          <w:p w:rsidR="00CC3B2C" w:rsidRPr="00CC3B2C" w:rsidRDefault="00CC3B2C" w:rsidP="009E0F5C">
            <w:pPr>
              <w:rPr>
                <w:sz w:val="20"/>
                <w:szCs w:val="20"/>
              </w:rPr>
            </w:pPr>
            <w:r w:rsidRPr="00CC3B2C">
              <w:rPr>
                <w:sz w:val="20"/>
                <w:szCs w:val="20"/>
              </w:rPr>
              <w:t>Propose remaining treaty points:</w:t>
            </w:r>
          </w:p>
          <w:p w:rsidR="00CC3B2C" w:rsidRPr="00CC3B2C" w:rsidRDefault="00CC3B2C" w:rsidP="009E0F5C">
            <w:pPr>
              <w:rPr>
                <w:sz w:val="20"/>
                <w:szCs w:val="20"/>
              </w:rPr>
            </w:pPr>
            <w:r w:rsidRPr="00CC3B2C">
              <w:rPr>
                <w:sz w:val="20"/>
                <w:szCs w:val="20"/>
              </w:rPr>
              <w:t>e- ML to e+ source</w:t>
            </w:r>
          </w:p>
          <w:p w:rsidR="00CC3B2C" w:rsidRPr="00CC3B2C" w:rsidRDefault="00CC3B2C" w:rsidP="009E0F5C">
            <w:pPr>
              <w:rPr>
                <w:sz w:val="20"/>
                <w:szCs w:val="20"/>
              </w:rPr>
            </w:pPr>
            <w:r w:rsidRPr="00CC3B2C">
              <w:rPr>
                <w:sz w:val="20"/>
                <w:szCs w:val="20"/>
              </w:rPr>
              <w:t>e+ ML to e+ BDS</w:t>
            </w:r>
          </w:p>
        </w:tc>
        <w:tc>
          <w:tcPr>
            <w:tcW w:w="1984" w:type="dxa"/>
          </w:tcPr>
          <w:p w:rsidR="00CC3B2C" w:rsidRPr="00CC3B2C" w:rsidRDefault="00CC3B2C" w:rsidP="009E0F5C">
            <w:pPr>
              <w:rPr>
                <w:sz w:val="20"/>
                <w:szCs w:val="20"/>
              </w:rPr>
            </w:pPr>
            <w:r w:rsidRPr="00CC3B2C">
              <w:rPr>
                <w:sz w:val="20"/>
                <w:szCs w:val="20"/>
              </w:rPr>
              <w:t>Walker, List</w:t>
            </w:r>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8</w:t>
            </w:r>
          </w:p>
        </w:tc>
        <w:tc>
          <w:tcPr>
            <w:tcW w:w="1748" w:type="dxa"/>
          </w:tcPr>
          <w:p w:rsidR="00CC3B2C" w:rsidRPr="00CC3B2C" w:rsidRDefault="00CC3B2C" w:rsidP="009E0F5C">
            <w:pPr>
              <w:rPr>
                <w:sz w:val="20"/>
                <w:szCs w:val="20"/>
              </w:rPr>
            </w:pPr>
          </w:p>
        </w:tc>
        <w:tc>
          <w:tcPr>
            <w:tcW w:w="4878" w:type="dxa"/>
          </w:tcPr>
          <w:p w:rsidR="00CC3B2C" w:rsidRPr="00CC3B2C" w:rsidRDefault="00CC3B2C" w:rsidP="009E0F5C">
            <w:pPr>
              <w:rPr>
                <w:sz w:val="20"/>
                <w:szCs w:val="20"/>
              </w:rPr>
            </w:pPr>
            <w:r w:rsidRPr="00CC3B2C">
              <w:rPr>
                <w:sz w:val="20"/>
                <w:szCs w:val="20"/>
              </w:rPr>
              <w:t xml:space="preserve">Prepare detailed design change document for PLTR, PRTL, ELTR, PRTL  </w:t>
            </w:r>
          </w:p>
        </w:tc>
        <w:tc>
          <w:tcPr>
            <w:tcW w:w="1984" w:type="dxa"/>
          </w:tcPr>
          <w:p w:rsidR="00CC3B2C" w:rsidRPr="00CC3B2C" w:rsidRDefault="00CC3B2C" w:rsidP="009E0F5C">
            <w:pPr>
              <w:rPr>
                <w:sz w:val="20"/>
                <w:szCs w:val="20"/>
              </w:rPr>
            </w:pPr>
            <w:r w:rsidRPr="00CC3B2C">
              <w:rPr>
                <w:sz w:val="20"/>
                <w:szCs w:val="20"/>
              </w:rPr>
              <w:t>Palmer, Paterson</w:t>
            </w:r>
          </w:p>
        </w:tc>
        <w:tc>
          <w:tcPr>
            <w:tcW w:w="1701" w:type="dxa"/>
          </w:tcPr>
          <w:p w:rsidR="00CC3B2C" w:rsidRPr="00CC3B2C" w:rsidRDefault="00CC3B2C" w:rsidP="009E0F5C">
            <w:pPr>
              <w:rPr>
                <w:sz w:val="20"/>
                <w:szCs w:val="20"/>
              </w:rPr>
            </w:pPr>
            <w:r w:rsidRPr="00CC3B2C">
              <w:rPr>
                <w:sz w:val="20"/>
                <w:szCs w:val="20"/>
              </w:rPr>
              <w:t>Friday 4.11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9</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Prepare central region cartoon indicating updated beamline and dump locations</w:t>
            </w:r>
          </w:p>
        </w:tc>
        <w:tc>
          <w:tcPr>
            <w:tcW w:w="1984" w:type="dxa"/>
          </w:tcPr>
          <w:p w:rsidR="00CC3B2C" w:rsidRPr="00CC3B2C" w:rsidRDefault="00CC3B2C" w:rsidP="009E0F5C">
            <w:pPr>
              <w:rPr>
                <w:sz w:val="20"/>
                <w:szCs w:val="20"/>
              </w:rPr>
            </w:pPr>
            <w:r w:rsidRPr="00CC3B2C">
              <w:rPr>
                <w:sz w:val="20"/>
                <w:szCs w:val="20"/>
              </w:rPr>
              <w:t>Walker, List, Palmer</w:t>
            </w:r>
          </w:p>
        </w:tc>
        <w:tc>
          <w:tcPr>
            <w:tcW w:w="1701" w:type="dxa"/>
          </w:tcPr>
          <w:p w:rsidR="00CC3B2C" w:rsidRPr="00CC3B2C" w:rsidRDefault="00CC3B2C" w:rsidP="009E0F5C">
            <w:pPr>
              <w:rPr>
                <w:sz w:val="20"/>
                <w:szCs w:val="20"/>
              </w:rPr>
            </w:pPr>
            <w:r w:rsidRPr="00CC3B2C">
              <w:rPr>
                <w:sz w:val="20"/>
                <w:szCs w:val="20"/>
              </w:rPr>
              <w:t>Friday 4.11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10</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Make required modifications to LTR/RTL lattices</w:t>
            </w:r>
          </w:p>
        </w:tc>
        <w:tc>
          <w:tcPr>
            <w:tcW w:w="1984" w:type="dxa"/>
          </w:tcPr>
          <w:p w:rsidR="00CC3B2C" w:rsidRPr="00CC3B2C" w:rsidRDefault="00CC3B2C" w:rsidP="009E0F5C">
            <w:pPr>
              <w:rPr>
                <w:sz w:val="20"/>
                <w:szCs w:val="20"/>
              </w:rPr>
            </w:pPr>
            <w:proofErr w:type="spellStart"/>
            <w:r w:rsidRPr="00CC3B2C">
              <w:rPr>
                <w:sz w:val="20"/>
                <w:szCs w:val="20"/>
              </w:rPr>
              <w:t>Solyak</w:t>
            </w:r>
            <w:proofErr w:type="spellEnd"/>
            <w:r w:rsidRPr="00CC3B2C">
              <w:rPr>
                <w:sz w:val="20"/>
                <w:szCs w:val="20"/>
              </w:rPr>
              <w:t xml:space="preserve">, </w:t>
            </w:r>
            <w:proofErr w:type="spellStart"/>
            <w:r w:rsidRPr="00CC3B2C">
              <w:rPr>
                <w:sz w:val="20"/>
                <w:szCs w:val="20"/>
              </w:rPr>
              <w:t>Gai</w:t>
            </w:r>
            <w:proofErr w:type="spellEnd"/>
          </w:p>
        </w:tc>
        <w:tc>
          <w:tcPr>
            <w:tcW w:w="1701" w:type="dxa"/>
          </w:tcPr>
          <w:p w:rsidR="00CC3B2C" w:rsidRPr="00CC3B2C" w:rsidRDefault="00CC3B2C" w:rsidP="009E0F5C">
            <w:pPr>
              <w:rPr>
                <w:sz w:val="20"/>
                <w:szCs w:val="20"/>
              </w:rPr>
            </w:pPr>
            <w:r w:rsidRPr="00CC3B2C">
              <w:rPr>
                <w:sz w:val="20"/>
                <w:szCs w:val="20"/>
              </w:rPr>
              <w:t>30.11</w:t>
            </w:r>
          </w:p>
        </w:tc>
        <w:tc>
          <w:tcPr>
            <w:tcW w:w="3261" w:type="dxa"/>
          </w:tcPr>
          <w:p w:rsidR="00CC3B2C" w:rsidRPr="00CC3B2C" w:rsidRDefault="00CC3B2C" w:rsidP="009E0F5C">
            <w:pPr>
              <w:rPr>
                <w:i/>
                <w:sz w:val="20"/>
                <w:szCs w:val="20"/>
              </w:rPr>
            </w:pPr>
            <w:r>
              <w:rPr>
                <w:i/>
                <w:sz w:val="20"/>
                <w:szCs w:val="20"/>
              </w:rPr>
              <w:t>Lattice freeze for TDR, notwithstanding final length of MLs.</w:t>
            </w:r>
          </w:p>
        </w:tc>
      </w:tr>
      <w:tr w:rsidR="00CC3B2C" w:rsidRPr="00CC3B2C" w:rsidTr="00CC3B2C">
        <w:tc>
          <w:tcPr>
            <w:tcW w:w="570" w:type="dxa"/>
          </w:tcPr>
          <w:p w:rsidR="00CC3B2C" w:rsidRPr="00CC3B2C" w:rsidRDefault="00CC3B2C" w:rsidP="009E0F5C">
            <w:pPr>
              <w:rPr>
                <w:sz w:val="20"/>
                <w:szCs w:val="20"/>
              </w:rPr>
            </w:pPr>
            <w:r w:rsidRPr="00CC3B2C">
              <w:rPr>
                <w:sz w:val="20"/>
                <w:szCs w:val="20"/>
              </w:rPr>
              <w:t>11</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Update BDS optics to match SB2009</w:t>
            </w:r>
          </w:p>
        </w:tc>
        <w:tc>
          <w:tcPr>
            <w:tcW w:w="1984" w:type="dxa"/>
          </w:tcPr>
          <w:p w:rsidR="00CC3B2C" w:rsidRPr="00CC3B2C" w:rsidRDefault="00CC3B2C" w:rsidP="00DB51BE">
            <w:pPr>
              <w:rPr>
                <w:sz w:val="20"/>
                <w:szCs w:val="20"/>
              </w:rPr>
            </w:pPr>
            <w:proofErr w:type="spellStart"/>
            <w:r w:rsidRPr="00CC3B2C">
              <w:rPr>
                <w:sz w:val="20"/>
                <w:szCs w:val="20"/>
              </w:rPr>
              <w:t>Seryi</w:t>
            </w:r>
            <w:proofErr w:type="spellEnd"/>
            <w:r w:rsidRPr="00CC3B2C">
              <w:rPr>
                <w:sz w:val="20"/>
                <w:szCs w:val="20"/>
              </w:rPr>
              <w:t xml:space="preserve"> (Tomas Garcia)</w:t>
            </w:r>
          </w:p>
        </w:tc>
        <w:tc>
          <w:tcPr>
            <w:tcW w:w="1701" w:type="dxa"/>
          </w:tcPr>
          <w:p w:rsidR="00CC3B2C" w:rsidRPr="00CC3B2C" w:rsidRDefault="00CC3B2C" w:rsidP="009E0F5C">
            <w:pPr>
              <w:rPr>
                <w:sz w:val="20"/>
                <w:szCs w:val="20"/>
              </w:rPr>
            </w:pPr>
            <w:r w:rsidRPr="00CC3B2C">
              <w:rPr>
                <w:sz w:val="20"/>
                <w:szCs w:val="20"/>
              </w:rPr>
              <w:t>1</w:t>
            </w:r>
            <w:r w:rsidRPr="00CC3B2C">
              <w:rPr>
                <w:sz w:val="20"/>
                <w:szCs w:val="20"/>
                <w:vertAlign w:val="superscript"/>
              </w:rPr>
              <w:t>st</w:t>
            </w:r>
            <w:r w:rsidRPr="00CC3B2C">
              <w:rPr>
                <w:sz w:val="20"/>
                <w:szCs w:val="20"/>
              </w:rPr>
              <w:t xml:space="preserve"> April 2012</w:t>
            </w:r>
          </w:p>
        </w:tc>
        <w:tc>
          <w:tcPr>
            <w:tcW w:w="3261" w:type="dxa"/>
          </w:tcPr>
          <w:p w:rsidR="00CC3B2C" w:rsidRPr="00CC3B2C" w:rsidRDefault="00343A25" w:rsidP="009E0F5C">
            <w:pPr>
              <w:rPr>
                <w:i/>
                <w:sz w:val="20"/>
                <w:szCs w:val="20"/>
              </w:rPr>
            </w:pPr>
            <w:r>
              <w:rPr>
                <w:i/>
                <w:sz w:val="20"/>
                <w:szCs w:val="20"/>
              </w:rPr>
              <w:t>Agreed at DESY BTR to freeze overall length at current value.</w:t>
            </w:r>
          </w:p>
        </w:tc>
      </w:tr>
      <w:tr w:rsidR="00CC3B2C" w:rsidRPr="00CC3B2C" w:rsidTr="00CC3B2C">
        <w:tc>
          <w:tcPr>
            <w:tcW w:w="570" w:type="dxa"/>
          </w:tcPr>
          <w:p w:rsidR="00CC3B2C" w:rsidRPr="00CC3B2C" w:rsidRDefault="00CC3B2C" w:rsidP="009E0F5C">
            <w:pPr>
              <w:rPr>
                <w:sz w:val="20"/>
                <w:szCs w:val="20"/>
              </w:rPr>
            </w:pPr>
            <w:r w:rsidRPr="00CC3B2C">
              <w:rPr>
                <w:sz w:val="20"/>
                <w:szCs w:val="20"/>
              </w:rPr>
              <w:t>12</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Update design register</w:t>
            </w:r>
          </w:p>
        </w:tc>
        <w:tc>
          <w:tcPr>
            <w:tcW w:w="1984" w:type="dxa"/>
          </w:tcPr>
          <w:p w:rsidR="00CC3B2C" w:rsidRPr="00CC3B2C" w:rsidRDefault="00CC3B2C" w:rsidP="009E0F5C">
            <w:pPr>
              <w:rPr>
                <w:sz w:val="20"/>
                <w:szCs w:val="20"/>
              </w:rPr>
            </w:pPr>
            <w:r w:rsidRPr="00CC3B2C">
              <w:rPr>
                <w:sz w:val="20"/>
                <w:szCs w:val="20"/>
              </w:rPr>
              <w:t>List</w:t>
            </w:r>
          </w:p>
        </w:tc>
        <w:tc>
          <w:tcPr>
            <w:tcW w:w="1701" w:type="dxa"/>
          </w:tcPr>
          <w:p w:rsidR="00CC3B2C" w:rsidRPr="00CC3B2C" w:rsidRDefault="00CC3B2C" w:rsidP="009E0F5C">
            <w:pPr>
              <w:rPr>
                <w:sz w:val="20"/>
                <w:szCs w:val="20"/>
              </w:rPr>
            </w:pPr>
            <w:r w:rsidRPr="00CC3B2C">
              <w:rPr>
                <w:sz w:val="20"/>
                <w:szCs w:val="20"/>
              </w:rPr>
              <w:t>30.11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13</w:t>
            </w:r>
          </w:p>
        </w:tc>
        <w:tc>
          <w:tcPr>
            <w:tcW w:w="1748" w:type="dxa"/>
          </w:tcPr>
          <w:p w:rsidR="00CC3B2C" w:rsidRPr="00CC3B2C" w:rsidRDefault="00CC3B2C" w:rsidP="009E0F5C">
            <w:pPr>
              <w:rPr>
                <w:sz w:val="20"/>
                <w:szCs w:val="20"/>
              </w:rPr>
            </w:pPr>
            <w:r w:rsidRPr="00CC3B2C">
              <w:rPr>
                <w:sz w:val="20"/>
                <w:szCs w:val="20"/>
              </w:rPr>
              <w:t>Electron source specific</w:t>
            </w:r>
          </w:p>
        </w:tc>
        <w:tc>
          <w:tcPr>
            <w:tcW w:w="4878" w:type="dxa"/>
          </w:tcPr>
          <w:p w:rsidR="00CC3B2C" w:rsidRPr="00CC3B2C" w:rsidRDefault="00CC3B2C" w:rsidP="00B87737">
            <w:pPr>
              <w:rPr>
                <w:sz w:val="20"/>
                <w:szCs w:val="20"/>
              </w:rPr>
            </w:pPr>
            <w:r w:rsidRPr="00CC3B2C">
              <w:rPr>
                <w:sz w:val="20"/>
                <w:szCs w:val="20"/>
              </w:rPr>
              <w:t>Check/confirm early estimates of heat load on capture section for 10Hz operation and new frequency.</w:t>
            </w:r>
          </w:p>
        </w:tc>
        <w:tc>
          <w:tcPr>
            <w:tcW w:w="1984" w:type="dxa"/>
          </w:tcPr>
          <w:p w:rsidR="00CC3B2C" w:rsidRPr="00CC3B2C" w:rsidRDefault="00CC3B2C" w:rsidP="009E0F5C">
            <w:pPr>
              <w:rPr>
                <w:sz w:val="20"/>
                <w:szCs w:val="20"/>
              </w:rPr>
            </w:pPr>
            <w:r w:rsidRPr="00CC3B2C">
              <w:rPr>
                <w:sz w:val="20"/>
                <w:szCs w:val="20"/>
              </w:rPr>
              <w:t>Sheppard</w:t>
            </w:r>
          </w:p>
        </w:tc>
        <w:tc>
          <w:tcPr>
            <w:tcW w:w="1701" w:type="dxa"/>
          </w:tcPr>
          <w:p w:rsidR="00CC3B2C" w:rsidRPr="00CC3B2C" w:rsidRDefault="00CC3B2C" w:rsidP="009E0F5C">
            <w:pPr>
              <w:rPr>
                <w:sz w:val="20"/>
                <w:szCs w:val="20"/>
              </w:rPr>
            </w:pPr>
            <w:r w:rsidRPr="00CC3B2C">
              <w:rPr>
                <w:sz w:val="20"/>
                <w:szCs w:val="20"/>
              </w:rPr>
              <w:t>30.11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14</w:t>
            </w:r>
          </w:p>
        </w:tc>
        <w:tc>
          <w:tcPr>
            <w:tcW w:w="1748" w:type="dxa"/>
          </w:tcPr>
          <w:p w:rsidR="00CC3B2C" w:rsidRPr="00CC3B2C" w:rsidRDefault="00CC3B2C" w:rsidP="009E0F5C">
            <w:pPr>
              <w:rPr>
                <w:sz w:val="20"/>
                <w:szCs w:val="20"/>
              </w:rPr>
            </w:pPr>
            <w:r w:rsidRPr="00CC3B2C">
              <w:rPr>
                <w:sz w:val="20"/>
                <w:szCs w:val="20"/>
              </w:rPr>
              <w:t>Positron source specific</w:t>
            </w:r>
          </w:p>
        </w:tc>
        <w:tc>
          <w:tcPr>
            <w:tcW w:w="4878" w:type="dxa"/>
          </w:tcPr>
          <w:p w:rsidR="00CC3B2C" w:rsidRPr="00CC3B2C" w:rsidRDefault="00CC3B2C" w:rsidP="00B87737">
            <w:pPr>
              <w:rPr>
                <w:sz w:val="20"/>
                <w:szCs w:val="20"/>
              </w:rPr>
            </w:pPr>
            <w:r w:rsidRPr="00CC3B2C">
              <w:rPr>
                <w:sz w:val="20"/>
                <w:szCs w:val="20"/>
              </w:rPr>
              <w:t>Review remote handling solutions and provide CFS requirements</w:t>
            </w:r>
          </w:p>
        </w:tc>
        <w:tc>
          <w:tcPr>
            <w:tcW w:w="1984" w:type="dxa"/>
          </w:tcPr>
          <w:p w:rsidR="00CC3B2C" w:rsidRPr="00CC3B2C" w:rsidRDefault="00CC3B2C" w:rsidP="009E0F5C">
            <w:pPr>
              <w:rPr>
                <w:sz w:val="20"/>
                <w:szCs w:val="20"/>
              </w:rPr>
            </w:pPr>
            <w:proofErr w:type="spellStart"/>
            <w:r w:rsidRPr="00CC3B2C">
              <w:rPr>
                <w:sz w:val="20"/>
                <w:szCs w:val="20"/>
              </w:rPr>
              <w:t>Gai</w:t>
            </w:r>
            <w:proofErr w:type="spellEnd"/>
          </w:p>
        </w:tc>
        <w:tc>
          <w:tcPr>
            <w:tcW w:w="1701" w:type="dxa"/>
          </w:tcPr>
          <w:p w:rsidR="00CC3B2C" w:rsidRPr="00CC3B2C" w:rsidRDefault="00CC3B2C" w:rsidP="009E0F5C">
            <w:pPr>
              <w:rPr>
                <w:sz w:val="20"/>
                <w:szCs w:val="20"/>
              </w:rPr>
            </w:pPr>
            <w:r w:rsidRPr="00CC3B2C">
              <w:rPr>
                <w:sz w:val="20"/>
                <w:szCs w:val="20"/>
              </w:rPr>
              <w:t>TBD</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15</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Recheck yield simulations with reduced field FC.</w:t>
            </w:r>
          </w:p>
        </w:tc>
        <w:tc>
          <w:tcPr>
            <w:tcW w:w="1984" w:type="dxa"/>
          </w:tcPr>
          <w:p w:rsidR="00CC3B2C" w:rsidRPr="00CC3B2C" w:rsidRDefault="00CC3B2C" w:rsidP="009E0F5C">
            <w:pPr>
              <w:rPr>
                <w:sz w:val="20"/>
                <w:szCs w:val="20"/>
              </w:rPr>
            </w:pPr>
            <w:proofErr w:type="spellStart"/>
            <w:r w:rsidRPr="00CC3B2C">
              <w:rPr>
                <w:sz w:val="20"/>
                <w:szCs w:val="20"/>
              </w:rPr>
              <w:t>Gai</w:t>
            </w:r>
            <w:proofErr w:type="spellEnd"/>
          </w:p>
        </w:tc>
        <w:tc>
          <w:tcPr>
            <w:tcW w:w="1701" w:type="dxa"/>
          </w:tcPr>
          <w:p w:rsidR="00CC3B2C" w:rsidRPr="00CC3B2C" w:rsidRDefault="00CC3B2C" w:rsidP="009E0F5C">
            <w:pPr>
              <w:rPr>
                <w:sz w:val="20"/>
                <w:szCs w:val="20"/>
              </w:rPr>
            </w:pPr>
            <w:r w:rsidRPr="00CC3B2C">
              <w:rPr>
                <w:sz w:val="20"/>
                <w:szCs w:val="20"/>
              </w:rPr>
              <w:t>ASAP</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16</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Design study for a spin-flip system</w:t>
            </w:r>
          </w:p>
        </w:tc>
        <w:tc>
          <w:tcPr>
            <w:tcW w:w="1984" w:type="dxa"/>
          </w:tcPr>
          <w:p w:rsidR="00CC3B2C" w:rsidRPr="00CC3B2C" w:rsidRDefault="00CC3B2C" w:rsidP="009E0F5C">
            <w:pPr>
              <w:rPr>
                <w:sz w:val="20"/>
                <w:szCs w:val="20"/>
              </w:rPr>
            </w:pPr>
            <w:proofErr w:type="spellStart"/>
            <w:r w:rsidRPr="00CC3B2C">
              <w:rPr>
                <w:sz w:val="20"/>
                <w:szCs w:val="20"/>
              </w:rPr>
              <w:t>Moortgat</w:t>
            </w:r>
            <w:proofErr w:type="spellEnd"/>
            <w:r w:rsidRPr="00CC3B2C">
              <w:rPr>
                <w:sz w:val="20"/>
                <w:szCs w:val="20"/>
              </w:rPr>
              <w:t>-Pick</w:t>
            </w:r>
          </w:p>
        </w:tc>
        <w:tc>
          <w:tcPr>
            <w:tcW w:w="1701" w:type="dxa"/>
          </w:tcPr>
          <w:p w:rsidR="00CC3B2C" w:rsidRPr="00CC3B2C" w:rsidRDefault="00CC3B2C" w:rsidP="009E0F5C">
            <w:pPr>
              <w:rPr>
                <w:sz w:val="20"/>
                <w:szCs w:val="20"/>
              </w:rPr>
            </w:pPr>
            <w:r w:rsidRPr="00CC3B2C">
              <w:rPr>
                <w:sz w:val="20"/>
                <w:szCs w:val="20"/>
              </w:rPr>
              <w:t>1</w:t>
            </w:r>
            <w:r w:rsidRPr="00CC3B2C">
              <w:rPr>
                <w:sz w:val="20"/>
                <w:szCs w:val="20"/>
                <w:vertAlign w:val="superscript"/>
              </w:rPr>
              <w:t>st</w:t>
            </w:r>
            <w:r w:rsidRPr="00CC3B2C">
              <w:rPr>
                <w:sz w:val="20"/>
                <w:szCs w:val="20"/>
              </w:rPr>
              <w:t xml:space="preserve"> April 2012</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17</w:t>
            </w:r>
          </w:p>
        </w:tc>
        <w:tc>
          <w:tcPr>
            <w:tcW w:w="1748" w:type="dxa"/>
          </w:tcPr>
          <w:p w:rsidR="00CC3B2C" w:rsidRPr="00CC3B2C" w:rsidRDefault="00CC3B2C" w:rsidP="009E0F5C">
            <w:pPr>
              <w:rPr>
                <w:sz w:val="20"/>
                <w:szCs w:val="20"/>
              </w:rPr>
            </w:pPr>
          </w:p>
        </w:tc>
        <w:tc>
          <w:tcPr>
            <w:tcW w:w="4878" w:type="dxa"/>
          </w:tcPr>
          <w:p w:rsidR="00CC3B2C" w:rsidRPr="00CC3B2C" w:rsidRDefault="00CC3B2C" w:rsidP="00B87737">
            <w:pPr>
              <w:rPr>
                <w:sz w:val="20"/>
                <w:szCs w:val="20"/>
              </w:rPr>
            </w:pPr>
            <w:r w:rsidRPr="00CC3B2C">
              <w:rPr>
                <w:sz w:val="20"/>
                <w:szCs w:val="20"/>
              </w:rPr>
              <w:t>Conceptual layout of Aux. source (CFS requirements)</w:t>
            </w:r>
          </w:p>
        </w:tc>
        <w:tc>
          <w:tcPr>
            <w:tcW w:w="1984" w:type="dxa"/>
          </w:tcPr>
          <w:p w:rsidR="00CC3B2C" w:rsidRPr="00CC3B2C" w:rsidRDefault="00CC3B2C" w:rsidP="009E0F5C">
            <w:pPr>
              <w:rPr>
                <w:sz w:val="20"/>
                <w:szCs w:val="20"/>
              </w:rPr>
            </w:pPr>
            <w:proofErr w:type="spellStart"/>
            <w:r w:rsidRPr="00CC3B2C">
              <w:rPr>
                <w:sz w:val="20"/>
                <w:szCs w:val="20"/>
              </w:rPr>
              <w:t>Gai</w:t>
            </w:r>
            <w:proofErr w:type="spellEnd"/>
            <w:r w:rsidRPr="00CC3B2C">
              <w:rPr>
                <w:sz w:val="20"/>
                <w:szCs w:val="20"/>
              </w:rPr>
              <w:t xml:space="preserve">, </w:t>
            </w:r>
            <w:proofErr w:type="spellStart"/>
            <w:r w:rsidRPr="00CC3B2C">
              <w:rPr>
                <w:sz w:val="20"/>
                <w:szCs w:val="20"/>
              </w:rPr>
              <w:t>Kuriki</w:t>
            </w:r>
            <w:proofErr w:type="spellEnd"/>
          </w:p>
        </w:tc>
        <w:tc>
          <w:tcPr>
            <w:tcW w:w="1701" w:type="dxa"/>
          </w:tcPr>
          <w:p w:rsidR="00CC3B2C" w:rsidRPr="00CC3B2C" w:rsidRDefault="00CC3B2C" w:rsidP="009E0F5C">
            <w:pPr>
              <w:rPr>
                <w:sz w:val="20"/>
                <w:szCs w:val="20"/>
              </w:rPr>
            </w:pPr>
            <w:r w:rsidRPr="00CC3B2C">
              <w:rPr>
                <w:sz w:val="20"/>
                <w:szCs w:val="20"/>
              </w:rPr>
              <w:t>ADI meeting 9.11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18</w:t>
            </w:r>
          </w:p>
        </w:tc>
        <w:tc>
          <w:tcPr>
            <w:tcW w:w="1748" w:type="dxa"/>
          </w:tcPr>
          <w:p w:rsidR="00CC3B2C" w:rsidRPr="00CC3B2C" w:rsidRDefault="00CC3B2C" w:rsidP="009E0F5C">
            <w:pPr>
              <w:rPr>
                <w:sz w:val="20"/>
                <w:szCs w:val="20"/>
              </w:rPr>
            </w:pPr>
            <w:r w:rsidRPr="00CC3B2C">
              <w:rPr>
                <w:sz w:val="20"/>
                <w:szCs w:val="20"/>
              </w:rPr>
              <w:t>RTML specific</w:t>
            </w:r>
          </w:p>
        </w:tc>
        <w:tc>
          <w:tcPr>
            <w:tcW w:w="4878" w:type="dxa"/>
          </w:tcPr>
          <w:p w:rsidR="00CC3B2C" w:rsidRPr="00CC3B2C" w:rsidRDefault="00CC3B2C" w:rsidP="00DB51BE">
            <w:pPr>
              <w:rPr>
                <w:sz w:val="20"/>
                <w:szCs w:val="20"/>
              </w:rPr>
            </w:pPr>
            <w:r w:rsidRPr="00CC3B2C">
              <w:rPr>
                <w:sz w:val="20"/>
                <w:szCs w:val="20"/>
              </w:rPr>
              <w:t>Review energy acceptance of fast extraction lines.</w:t>
            </w:r>
          </w:p>
        </w:tc>
        <w:tc>
          <w:tcPr>
            <w:tcW w:w="1984" w:type="dxa"/>
          </w:tcPr>
          <w:p w:rsidR="00CC3B2C" w:rsidRPr="00CC3B2C" w:rsidRDefault="00780E65" w:rsidP="009E0F5C">
            <w:pPr>
              <w:rPr>
                <w:sz w:val="20"/>
                <w:szCs w:val="20"/>
              </w:rPr>
            </w:pPr>
            <w:proofErr w:type="spellStart"/>
            <w:r>
              <w:rPr>
                <w:sz w:val="20"/>
                <w:szCs w:val="20"/>
              </w:rPr>
              <w:t>Solyak</w:t>
            </w:r>
            <w:proofErr w:type="spellEnd"/>
          </w:p>
        </w:tc>
        <w:tc>
          <w:tcPr>
            <w:tcW w:w="1701" w:type="dxa"/>
          </w:tcPr>
          <w:p w:rsidR="00CC3B2C" w:rsidRPr="00CC3B2C" w:rsidRDefault="00780E65" w:rsidP="009E0F5C">
            <w:pPr>
              <w:rPr>
                <w:sz w:val="20"/>
                <w:szCs w:val="20"/>
              </w:rPr>
            </w:pPr>
            <w:r>
              <w:rPr>
                <w:sz w:val="20"/>
                <w:szCs w:val="20"/>
              </w:rPr>
              <w:t>TBD</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19</w:t>
            </w:r>
          </w:p>
        </w:tc>
        <w:tc>
          <w:tcPr>
            <w:tcW w:w="1748" w:type="dxa"/>
          </w:tcPr>
          <w:p w:rsidR="00CC3B2C" w:rsidRPr="00CC3B2C" w:rsidRDefault="00CC3B2C" w:rsidP="009E0F5C">
            <w:pPr>
              <w:rPr>
                <w:sz w:val="20"/>
                <w:szCs w:val="20"/>
              </w:rPr>
            </w:pPr>
            <w:r w:rsidRPr="00CC3B2C">
              <w:rPr>
                <w:sz w:val="20"/>
                <w:szCs w:val="20"/>
              </w:rPr>
              <w:t>BDS/MDI</w:t>
            </w:r>
          </w:p>
        </w:tc>
        <w:tc>
          <w:tcPr>
            <w:tcW w:w="4878" w:type="dxa"/>
          </w:tcPr>
          <w:p w:rsidR="00CC3B2C" w:rsidRPr="00CC3B2C" w:rsidRDefault="00CC3B2C" w:rsidP="00B87737">
            <w:pPr>
              <w:rPr>
                <w:sz w:val="20"/>
                <w:szCs w:val="20"/>
              </w:rPr>
            </w:pPr>
            <w:r w:rsidRPr="00CC3B2C">
              <w:rPr>
                <w:sz w:val="20"/>
                <w:szCs w:val="20"/>
              </w:rPr>
              <w:t>Provide CFS requirements for laser systems</w:t>
            </w:r>
          </w:p>
        </w:tc>
        <w:tc>
          <w:tcPr>
            <w:tcW w:w="1984" w:type="dxa"/>
          </w:tcPr>
          <w:p w:rsidR="00CC3B2C" w:rsidRPr="00CC3B2C" w:rsidRDefault="00CC3B2C" w:rsidP="00DA592E">
            <w:pPr>
              <w:rPr>
                <w:sz w:val="20"/>
                <w:szCs w:val="20"/>
              </w:rPr>
            </w:pPr>
            <w:r>
              <w:rPr>
                <w:sz w:val="20"/>
                <w:szCs w:val="20"/>
              </w:rPr>
              <w:t>Ross</w:t>
            </w:r>
          </w:p>
        </w:tc>
        <w:tc>
          <w:tcPr>
            <w:tcW w:w="1701" w:type="dxa"/>
          </w:tcPr>
          <w:p w:rsidR="00CC3B2C" w:rsidRPr="00CC3B2C" w:rsidRDefault="00CC3B2C" w:rsidP="009E0F5C">
            <w:pPr>
              <w:rPr>
                <w:sz w:val="20"/>
                <w:szCs w:val="20"/>
              </w:rPr>
            </w:pPr>
            <w:r w:rsidRPr="00CC3B2C">
              <w:rPr>
                <w:sz w:val="20"/>
                <w:szCs w:val="20"/>
              </w:rPr>
              <w:t>ASAP</w:t>
            </w:r>
          </w:p>
        </w:tc>
        <w:tc>
          <w:tcPr>
            <w:tcW w:w="3261" w:type="dxa"/>
          </w:tcPr>
          <w:p w:rsidR="00CC3B2C" w:rsidRPr="00CC3B2C" w:rsidRDefault="00CC3B2C" w:rsidP="009E0F5C">
            <w:pPr>
              <w:rPr>
                <w:i/>
                <w:sz w:val="20"/>
                <w:szCs w:val="20"/>
              </w:rPr>
            </w:pPr>
            <w:r w:rsidRPr="00CC3B2C">
              <w:rPr>
                <w:i/>
                <w:sz w:val="20"/>
                <w:szCs w:val="20"/>
              </w:rPr>
              <w:t>Comprehensive list of lasers for entire machine.</w:t>
            </w:r>
          </w:p>
        </w:tc>
      </w:tr>
      <w:tr w:rsidR="00CC3B2C" w:rsidRPr="00CC3B2C" w:rsidTr="00CC3B2C">
        <w:tc>
          <w:tcPr>
            <w:tcW w:w="570" w:type="dxa"/>
          </w:tcPr>
          <w:p w:rsidR="00CC3B2C" w:rsidRPr="00CC3B2C" w:rsidRDefault="00CC3B2C" w:rsidP="009E0F5C">
            <w:pPr>
              <w:rPr>
                <w:sz w:val="20"/>
                <w:szCs w:val="20"/>
              </w:rPr>
            </w:pPr>
            <w:r w:rsidRPr="00CC3B2C">
              <w:rPr>
                <w:sz w:val="20"/>
                <w:szCs w:val="20"/>
              </w:rPr>
              <w:t>20</w:t>
            </w:r>
          </w:p>
        </w:tc>
        <w:tc>
          <w:tcPr>
            <w:tcW w:w="1748" w:type="dxa"/>
          </w:tcPr>
          <w:p w:rsidR="00CC3B2C" w:rsidRPr="00CC3B2C" w:rsidRDefault="00CC3B2C" w:rsidP="009E0F5C">
            <w:pPr>
              <w:rPr>
                <w:sz w:val="20"/>
                <w:szCs w:val="20"/>
              </w:rPr>
            </w:pPr>
          </w:p>
        </w:tc>
        <w:tc>
          <w:tcPr>
            <w:tcW w:w="4878" w:type="dxa"/>
          </w:tcPr>
          <w:p w:rsidR="00CC3B2C" w:rsidRPr="00CC3B2C" w:rsidRDefault="00CC3B2C" w:rsidP="00DA592E">
            <w:pPr>
              <w:rPr>
                <w:sz w:val="20"/>
                <w:szCs w:val="20"/>
              </w:rPr>
            </w:pPr>
            <w:r w:rsidRPr="00CC3B2C">
              <w:rPr>
                <w:sz w:val="20"/>
                <w:szCs w:val="20"/>
              </w:rPr>
              <w:t>Review main dump layout, shielding and layout (CFS requirements)</w:t>
            </w:r>
          </w:p>
        </w:tc>
        <w:tc>
          <w:tcPr>
            <w:tcW w:w="1984" w:type="dxa"/>
          </w:tcPr>
          <w:p w:rsidR="00CC3B2C" w:rsidRPr="00CC3B2C" w:rsidRDefault="00CC3B2C" w:rsidP="009E0F5C">
            <w:pPr>
              <w:rPr>
                <w:sz w:val="20"/>
                <w:szCs w:val="20"/>
              </w:rPr>
            </w:pPr>
            <w:r w:rsidRPr="00CC3B2C">
              <w:rPr>
                <w:sz w:val="20"/>
                <w:szCs w:val="20"/>
              </w:rPr>
              <w:t>Ross et al  (TBC)</w:t>
            </w:r>
          </w:p>
        </w:tc>
        <w:tc>
          <w:tcPr>
            <w:tcW w:w="1701" w:type="dxa"/>
          </w:tcPr>
          <w:p w:rsidR="00CC3B2C" w:rsidRPr="00CC3B2C" w:rsidRDefault="00CC3B2C" w:rsidP="009E0F5C">
            <w:pPr>
              <w:rPr>
                <w:sz w:val="20"/>
                <w:szCs w:val="20"/>
              </w:rPr>
            </w:pPr>
            <w:r w:rsidRPr="00CC3B2C">
              <w:rPr>
                <w:sz w:val="20"/>
                <w:szCs w:val="20"/>
              </w:rPr>
              <w:t>ADI meeting 13.11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sidRPr="00CC3B2C">
              <w:rPr>
                <w:sz w:val="20"/>
                <w:szCs w:val="20"/>
              </w:rPr>
              <w:t>21</w:t>
            </w:r>
          </w:p>
        </w:tc>
        <w:tc>
          <w:tcPr>
            <w:tcW w:w="1748" w:type="dxa"/>
          </w:tcPr>
          <w:p w:rsidR="00CC3B2C" w:rsidRPr="00CC3B2C" w:rsidRDefault="00CC3B2C" w:rsidP="009E0F5C">
            <w:pPr>
              <w:rPr>
                <w:sz w:val="20"/>
                <w:szCs w:val="20"/>
              </w:rPr>
            </w:pPr>
            <w:r w:rsidRPr="00CC3B2C">
              <w:rPr>
                <w:sz w:val="20"/>
                <w:szCs w:val="20"/>
              </w:rPr>
              <w:t>CFS</w:t>
            </w:r>
          </w:p>
        </w:tc>
        <w:tc>
          <w:tcPr>
            <w:tcW w:w="4878" w:type="dxa"/>
          </w:tcPr>
          <w:p w:rsidR="00CC3B2C" w:rsidRPr="00CC3B2C" w:rsidRDefault="00CC3B2C" w:rsidP="00DA592E">
            <w:pPr>
              <w:rPr>
                <w:sz w:val="20"/>
                <w:szCs w:val="20"/>
              </w:rPr>
            </w:pPr>
            <w:r w:rsidRPr="00CC3B2C">
              <w:rPr>
                <w:sz w:val="20"/>
                <w:szCs w:val="20"/>
              </w:rPr>
              <w:t>Update central region beam tunnel drawings.</w:t>
            </w:r>
          </w:p>
        </w:tc>
        <w:tc>
          <w:tcPr>
            <w:tcW w:w="1984" w:type="dxa"/>
          </w:tcPr>
          <w:p w:rsidR="00CC3B2C" w:rsidRPr="00CC3B2C" w:rsidRDefault="00CC3B2C" w:rsidP="009E0F5C">
            <w:pPr>
              <w:rPr>
                <w:sz w:val="20"/>
                <w:szCs w:val="20"/>
              </w:rPr>
            </w:pPr>
            <w:r w:rsidRPr="00CC3B2C">
              <w:rPr>
                <w:sz w:val="20"/>
                <w:szCs w:val="20"/>
              </w:rPr>
              <w:t>Kuchler</w:t>
            </w:r>
          </w:p>
        </w:tc>
        <w:tc>
          <w:tcPr>
            <w:tcW w:w="1701" w:type="dxa"/>
          </w:tcPr>
          <w:p w:rsidR="00CC3B2C" w:rsidRPr="00CC3B2C" w:rsidRDefault="00CC3B2C" w:rsidP="009E0F5C">
            <w:pPr>
              <w:rPr>
                <w:sz w:val="20"/>
                <w:szCs w:val="20"/>
              </w:rPr>
            </w:pPr>
            <w:r w:rsidRPr="00CC3B2C">
              <w:rPr>
                <w:sz w:val="20"/>
                <w:szCs w:val="20"/>
              </w:rPr>
              <w:t>ADI meeting 7.12</w:t>
            </w:r>
          </w:p>
        </w:tc>
        <w:tc>
          <w:tcPr>
            <w:tcW w:w="3261" w:type="dxa"/>
          </w:tcPr>
          <w:p w:rsidR="00CC3B2C" w:rsidRPr="00CC3B2C" w:rsidRDefault="00343A25" w:rsidP="009E0F5C">
            <w:pPr>
              <w:rPr>
                <w:i/>
                <w:sz w:val="20"/>
                <w:szCs w:val="20"/>
              </w:rPr>
            </w:pPr>
            <w:r>
              <w:rPr>
                <w:i/>
                <w:sz w:val="20"/>
                <w:szCs w:val="20"/>
              </w:rPr>
              <w:t>This date reflects “final” drawings, after lattice freeze.</w:t>
            </w:r>
          </w:p>
        </w:tc>
      </w:tr>
      <w:tr w:rsidR="00CC3B2C" w:rsidRPr="00CC3B2C" w:rsidTr="00CC3B2C">
        <w:tc>
          <w:tcPr>
            <w:tcW w:w="570" w:type="dxa"/>
          </w:tcPr>
          <w:p w:rsidR="00CC3B2C" w:rsidRPr="00CC3B2C" w:rsidRDefault="00CC3B2C" w:rsidP="009E0F5C">
            <w:pPr>
              <w:rPr>
                <w:sz w:val="20"/>
                <w:szCs w:val="20"/>
              </w:rPr>
            </w:pPr>
            <w:r w:rsidRPr="00CC3B2C">
              <w:rPr>
                <w:sz w:val="20"/>
                <w:szCs w:val="20"/>
              </w:rPr>
              <w:t>22</w:t>
            </w:r>
          </w:p>
        </w:tc>
        <w:tc>
          <w:tcPr>
            <w:tcW w:w="1748" w:type="dxa"/>
          </w:tcPr>
          <w:p w:rsidR="00CC3B2C" w:rsidRPr="00CC3B2C" w:rsidRDefault="00CC3B2C" w:rsidP="009E0F5C">
            <w:pPr>
              <w:rPr>
                <w:sz w:val="20"/>
                <w:szCs w:val="20"/>
              </w:rPr>
            </w:pPr>
          </w:p>
        </w:tc>
        <w:tc>
          <w:tcPr>
            <w:tcW w:w="4878" w:type="dxa"/>
          </w:tcPr>
          <w:p w:rsidR="00CC3B2C" w:rsidRPr="00CC3B2C" w:rsidRDefault="00CC3B2C" w:rsidP="00DA592E">
            <w:pPr>
              <w:rPr>
                <w:sz w:val="20"/>
                <w:szCs w:val="20"/>
              </w:rPr>
            </w:pPr>
            <w:r w:rsidRPr="00CC3B2C">
              <w:rPr>
                <w:sz w:val="20"/>
                <w:szCs w:val="20"/>
              </w:rPr>
              <w:t>Review central region service tunnel(s)</w:t>
            </w:r>
          </w:p>
        </w:tc>
        <w:tc>
          <w:tcPr>
            <w:tcW w:w="1984" w:type="dxa"/>
          </w:tcPr>
          <w:p w:rsidR="00CC3B2C" w:rsidRPr="00CC3B2C" w:rsidRDefault="00CC3B2C" w:rsidP="009E0F5C">
            <w:pPr>
              <w:rPr>
                <w:sz w:val="20"/>
                <w:szCs w:val="20"/>
              </w:rPr>
            </w:pPr>
            <w:r w:rsidRPr="00CC3B2C">
              <w:rPr>
                <w:sz w:val="20"/>
                <w:szCs w:val="20"/>
              </w:rPr>
              <w:t>Kuchler, Osborne, Ross</w:t>
            </w:r>
          </w:p>
        </w:tc>
        <w:tc>
          <w:tcPr>
            <w:tcW w:w="1701" w:type="dxa"/>
          </w:tcPr>
          <w:p w:rsidR="00CC3B2C" w:rsidRPr="00CC3B2C" w:rsidRDefault="00CC3B2C" w:rsidP="009E0F5C">
            <w:pPr>
              <w:rPr>
                <w:sz w:val="20"/>
                <w:szCs w:val="20"/>
              </w:rPr>
            </w:pPr>
            <w:r w:rsidRPr="00CC3B2C">
              <w:rPr>
                <w:sz w:val="20"/>
                <w:szCs w:val="20"/>
              </w:rPr>
              <w:t>ADI meeting 7.12</w:t>
            </w:r>
          </w:p>
        </w:tc>
        <w:tc>
          <w:tcPr>
            <w:tcW w:w="3261" w:type="dxa"/>
          </w:tcPr>
          <w:p w:rsidR="00CC3B2C" w:rsidRPr="00CC3B2C" w:rsidRDefault="00343A25" w:rsidP="009E0F5C">
            <w:pPr>
              <w:rPr>
                <w:i/>
                <w:sz w:val="20"/>
                <w:szCs w:val="20"/>
              </w:rPr>
            </w:pPr>
            <w:r>
              <w:rPr>
                <w:i/>
                <w:sz w:val="20"/>
                <w:szCs w:val="20"/>
              </w:rPr>
              <w:t>Need to discuss how best to prepare for this.</w:t>
            </w:r>
          </w:p>
        </w:tc>
      </w:tr>
      <w:tr w:rsidR="00CC3B2C" w:rsidRPr="00CC3B2C" w:rsidTr="00CC3B2C">
        <w:tc>
          <w:tcPr>
            <w:tcW w:w="570" w:type="dxa"/>
          </w:tcPr>
          <w:p w:rsidR="00CC3B2C" w:rsidRPr="00CC3B2C" w:rsidRDefault="00CC3B2C" w:rsidP="009E0F5C">
            <w:pPr>
              <w:rPr>
                <w:sz w:val="20"/>
                <w:szCs w:val="20"/>
              </w:rPr>
            </w:pPr>
            <w:r w:rsidRPr="00CC3B2C">
              <w:rPr>
                <w:sz w:val="20"/>
                <w:szCs w:val="20"/>
              </w:rPr>
              <w:t>23</w:t>
            </w:r>
          </w:p>
        </w:tc>
        <w:tc>
          <w:tcPr>
            <w:tcW w:w="1748" w:type="dxa"/>
          </w:tcPr>
          <w:p w:rsidR="00CC3B2C" w:rsidRPr="00CC3B2C" w:rsidRDefault="00CC3B2C" w:rsidP="009E0F5C">
            <w:pPr>
              <w:rPr>
                <w:sz w:val="20"/>
                <w:szCs w:val="20"/>
              </w:rPr>
            </w:pPr>
            <w:r w:rsidRPr="00CC3B2C">
              <w:rPr>
                <w:sz w:val="20"/>
                <w:szCs w:val="20"/>
              </w:rPr>
              <w:t>Global timing</w:t>
            </w:r>
          </w:p>
        </w:tc>
        <w:tc>
          <w:tcPr>
            <w:tcW w:w="4878" w:type="dxa"/>
          </w:tcPr>
          <w:p w:rsidR="00CC3B2C" w:rsidRPr="00CC3B2C" w:rsidRDefault="00CC3B2C" w:rsidP="00DA592E">
            <w:pPr>
              <w:rPr>
                <w:sz w:val="20"/>
                <w:szCs w:val="20"/>
              </w:rPr>
            </w:pPr>
            <w:r w:rsidRPr="00CC3B2C">
              <w:rPr>
                <w:sz w:val="20"/>
                <w:szCs w:val="20"/>
              </w:rPr>
              <w:t>Estimate installation path-length accuracy based on existing machines</w:t>
            </w:r>
          </w:p>
        </w:tc>
        <w:tc>
          <w:tcPr>
            <w:tcW w:w="1984" w:type="dxa"/>
          </w:tcPr>
          <w:p w:rsidR="00CC3B2C" w:rsidRPr="00CC3B2C" w:rsidRDefault="00CC3B2C" w:rsidP="00343A25">
            <w:pPr>
              <w:rPr>
                <w:sz w:val="20"/>
                <w:szCs w:val="20"/>
              </w:rPr>
            </w:pPr>
            <w:r w:rsidRPr="00CC3B2C">
              <w:rPr>
                <w:sz w:val="20"/>
                <w:szCs w:val="20"/>
              </w:rPr>
              <w:t>Paterson</w:t>
            </w:r>
            <w:r w:rsidR="00343A25">
              <w:rPr>
                <w:sz w:val="20"/>
                <w:szCs w:val="20"/>
              </w:rPr>
              <w:t xml:space="preserve"> et al</w:t>
            </w:r>
          </w:p>
        </w:tc>
        <w:tc>
          <w:tcPr>
            <w:tcW w:w="1701" w:type="dxa"/>
          </w:tcPr>
          <w:p w:rsidR="00CC3B2C" w:rsidRPr="00CC3B2C" w:rsidRDefault="00CC3B2C" w:rsidP="009E0F5C">
            <w:pPr>
              <w:rPr>
                <w:sz w:val="20"/>
                <w:szCs w:val="20"/>
              </w:rPr>
            </w:pPr>
            <w:r w:rsidRPr="00CC3B2C">
              <w:rPr>
                <w:sz w:val="20"/>
                <w:szCs w:val="20"/>
              </w:rPr>
              <w:t>ADI meeting 21.12</w:t>
            </w:r>
          </w:p>
        </w:tc>
        <w:tc>
          <w:tcPr>
            <w:tcW w:w="3261" w:type="dxa"/>
          </w:tcPr>
          <w:p w:rsidR="00CC3B2C" w:rsidRPr="00CC3B2C" w:rsidRDefault="00CC3B2C" w:rsidP="009E0F5C">
            <w:pPr>
              <w:rPr>
                <w:i/>
                <w:sz w:val="20"/>
                <w:szCs w:val="20"/>
              </w:rPr>
            </w:pPr>
          </w:p>
        </w:tc>
      </w:tr>
      <w:tr w:rsidR="00343A25" w:rsidRPr="00CC3B2C" w:rsidTr="00CC3B2C">
        <w:tc>
          <w:tcPr>
            <w:tcW w:w="570" w:type="dxa"/>
          </w:tcPr>
          <w:p w:rsidR="00343A25" w:rsidRPr="00CC3B2C" w:rsidRDefault="00343A25" w:rsidP="009E0F5C">
            <w:pPr>
              <w:rPr>
                <w:sz w:val="20"/>
                <w:szCs w:val="20"/>
              </w:rPr>
            </w:pPr>
            <w:r w:rsidRPr="00CC3B2C">
              <w:rPr>
                <w:sz w:val="20"/>
                <w:szCs w:val="20"/>
              </w:rPr>
              <w:t>24</w:t>
            </w:r>
          </w:p>
        </w:tc>
        <w:tc>
          <w:tcPr>
            <w:tcW w:w="1748" w:type="dxa"/>
          </w:tcPr>
          <w:p w:rsidR="00343A25" w:rsidRPr="00CC3B2C" w:rsidRDefault="00343A25" w:rsidP="009E0F5C">
            <w:pPr>
              <w:rPr>
                <w:sz w:val="20"/>
                <w:szCs w:val="20"/>
              </w:rPr>
            </w:pPr>
          </w:p>
        </w:tc>
        <w:tc>
          <w:tcPr>
            <w:tcW w:w="4878" w:type="dxa"/>
          </w:tcPr>
          <w:p w:rsidR="00343A25" w:rsidRPr="00CC3B2C" w:rsidRDefault="00343A25" w:rsidP="00DD519F">
            <w:pPr>
              <w:rPr>
                <w:sz w:val="20"/>
                <w:szCs w:val="20"/>
              </w:rPr>
            </w:pPr>
            <w:r w:rsidRPr="00CC3B2C">
              <w:rPr>
                <w:sz w:val="20"/>
                <w:szCs w:val="20"/>
              </w:rPr>
              <w:t>Evaluate round trip timing errors and required adjustments</w:t>
            </w:r>
          </w:p>
        </w:tc>
        <w:tc>
          <w:tcPr>
            <w:tcW w:w="1984" w:type="dxa"/>
          </w:tcPr>
          <w:p w:rsidR="00343A25" w:rsidRPr="00CC3B2C" w:rsidRDefault="00343A25" w:rsidP="00DD519F">
            <w:pPr>
              <w:rPr>
                <w:sz w:val="20"/>
                <w:szCs w:val="20"/>
              </w:rPr>
            </w:pPr>
            <w:r w:rsidRPr="00CC3B2C">
              <w:rPr>
                <w:sz w:val="20"/>
                <w:szCs w:val="20"/>
              </w:rPr>
              <w:t>Paterson</w:t>
            </w:r>
            <w:r>
              <w:rPr>
                <w:sz w:val="20"/>
                <w:szCs w:val="20"/>
              </w:rPr>
              <w:t xml:space="preserve"> et al</w:t>
            </w:r>
          </w:p>
        </w:tc>
        <w:tc>
          <w:tcPr>
            <w:tcW w:w="1701" w:type="dxa"/>
          </w:tcPr>
          <w:p w:rsidR="00343A25" w:rsidRPr="00CC3B2C" w:rsidRDefault="00343A25" w:rsidP="009E0F5C">
            <w:pPr>
              <w:rPr>
                <w:sz w:val="20"/>
                <w:szCs w:val="20"/>
              </w:rPr>
            </w:pPr>
            <w:r w:rsidRPr="00CC3B2C">
              <w:rPr>
                <w:sz w:val="20"/>
                <w:szCs w:val="20"/>
              </w:rPr>
              <w:t>ADI meeting 21.12</w:t>
            </w:r>
          </w:p>
        </w:tc>
        <w:tc>
          <w:tcPr>
            <w:tcW w:w="3261" w:type="dxa"/>
          </w:tcPr>
          <w:p w:rsidR="00343A25" w:rsidRPr="00CC3B2C" w:rsidRDefault="00343A25" w:rsidP="009E0F5C">
            <w:pPr>
              <w:rPr>
                <w:i/>
                <w:sz w:val="20"/>
                <w:szCs w:val="20"/>
              </w:rPr>
            </w:pPr>
          </w:p>
        </w:tc>
      </w:tr>
      <w:tr w:rsidR="00343A25" w:rsidRPr="00CC3B2C" w:rsidTr="00CC3B2C">
        <w:tc>
          <w:tcPr>
            <w:tcW w:w="570" w:type="dxa"/>
          </w:tcPr>
          <w:p w:rsidR="00343A25" w:rsidRPr="00CC3B2C" w:rsidRDefault="00343A25" w:rsidP="009E0F5C">
            <w:pPr>
              <w:rPr>
                <w:sz w:val="20"/>
                <w:szCs w:val="20"/>
              </w:rPr>
            </w:pPr>
            <w:r w:rsidRPr="00CC3B2C">
              <w:rPr>
                <w:sz w:val="20"/>
                <w:szCs w:val="20"/>
              </w:rPr>
              <w:t>25</w:t>
            </w:r>
          </w:p>
        </w:tc>
        <w:tc>
          <w:tcPr>
            <w:tcW w:w="1748" w:type="dxa"/>
          </w:tcPr>
          <w:p w:rsidR="00343A25" w:rsidRPr="00CC3B2C" w:rsidRDefault="00343A25" w:rsidP="009E0F5C">
            <w:pPr>
              <w:rPr>
                <w:sz w:val="20"/>
                <w:szCs w:val="20"/>
              </w:rPr>
            </w:pPr>
          </w:p>
        </w:tc>
        <w:tc>
          <w:tcPr>
            <w:tcW w:w="4878" w:type="dxa"/>
          </w:tcPr>
          <w:p w:rsidR="00343A25" w:rsidRPr="00CC3B2C" w:rsidRDefault="00343A25" w:rsidP="00DD519F">
            <w:pPr>
              <w:rPr>
                <w:sz w:val="20"/>
                <w:szCs w:val="20"/>
              </w:rPr>
            </w:pPr>
            <w:r w:rsidRPr="00CC3B2C">
              <w:rPr>
                <w:sz w:val="20"/>
                <w:szCs w:val="20"/>
              </w:rPr>
              <w:t>Proposed spec. and location for timing adjustment chicane</w:t>
            </w:r>
          </w:p>
        </w:tc>
        <w:tc>
          <w:tcPr>
            <w:tcW w:w="1984" w:type="dxa"/>
          </w:tcPr>
          <w:p w:rsidR="00343A25" w:rsidRPr="00CC3B2C" w:rsidRDefault="00343A25" w:rsidP="00DD519F">
            <w:pPr>
              <w:rPr>
                <w:sz w:val="20"/>
                <w:szCs w:val="20"/>
              </w:rPr>
            </w:pPr>
            <w:r w:rsidRPr="00CC3B2C">
              <w:rPr>
                <w:sz w:val="20"/>
                <w:szCs w:val="20"/>
              </w:rPr>
              <w:t>Paterson</w:t>
            </w:r>
            <w:r>
              <w:rPr>
                <w:sz w:val="20"/>
                <w:szCs w:val="20"/>
              </w:rPr>
              <w:t xml:space="preserve"> et al</w:t>
            </w:r>
          </w:p>
        </w:tc>
        <w:tc>
          <w:tcPr>
            <w:tcW w:w="1701" w:type="dxa"/>
          </w:tcPr>
          <w:p w:rsidR="00343A25" w:rsidRPr="00CC3B2C" w:rsidRDefault="00343A25" w:rsidP="009E0F5C">
            <w:pPr>
              <w:rPr>
                <w:sz w:val="20"/>
                <w:szCs w:val="20"/>
              </w:rPr>
            </w:pPr>
            <w:r w:rsidRPr="00CC3B2C">
              <w:rPr>
                <w:sz w:val="20"/>
                <w:szCs w:val="20"/>
              </w:rPr>
              <w:t>ADI meeting 21.12</w:t>
            </w:r>
          </w:p>
        </w:tc>
        <w:tc>
          <w:tcPr>
            <w:tcW w:w="3261" w:type="dxa"/>
          </w:tcPr>
          <w:p w:rsidR="00343A25" w:rsidRPr="00CC3B2C" w:rsidRDefault="00343A25" w:rsidP="009E0F5C">
            <w:pPr>
              <w:rPr>
                <w:i/>
                <w:sz w:val="20"/>
                <w:szCs w:val="20"/>
              </w:rPr>
            </w:pPr>
          </w:p>
        </w:tc>
      </w:tr>
      <w:tr w:rsidR="00343A25" w:rsidRPr="00CC3B2C" w:rsidTr="00CC3B2C">
        <w:tc>
          <w:tcPr>
            <w:tcW w:w="570" w:type="dxa"/>
          </w:tcPr>
          <w:p w:rsidR="00343A25" w:rsidRPr="00CC3B2C" w:rsidRDefault="00343A25" w:rsidP="009E0F5C">
            <w:pPr>
              <w:rPr>
                <w:sz w:val="20"/>
                <w:szCs w:val="20"/>
              </w:rPr>
            </w:pPr>
            <w:r>
              <w:rPr>
                <w:sz w:val="20"/>
                <w:szCs w:val="20"/>
              </w:rPr>
              <w:t>26</w:t>
            </w:r>
          </w:p>
        </w:tc>
        <w:tc>
          <w:tcPr>
            <w:tcW w:w="1748" w:type="dxa"/>
          </w:tcPr>
          <w:p w:rsidR="00343A25" w:rsidRPr="00CC3B2C" w:rsidRDefault="00343A25" w:rsidP="009E0F5C">
            <w:pPr>
              <w:rPr>
                <w:sz w:val="20"/>
                <w:szCs w:val="20"/>
              </w:rPr>
            </w:pPr>
          </w:p>
        </w:tc>
        <w:tc>
          <w:tcPr>
            <w:tcW w:w="4878" w:type="dxa"/>
          </w:tcPr>
          <w:p w:rsidR="00343A25" w:rsidRPr="00CC3B2C" w:rsidRDefault="00343A25" w:rsidP="00DD519F">
            <w:pPr>
              <w:rPr>
                <w:sz w:val="20"/>
                <w:szCs w:val="20"/>
              </w:rPr>
            </w:pPr>
            <w:r w:rsidRPr="00CC3B2C">
              <w:rPr>
                <w:sz w:val="20"/>
                <w:szCs w:val="20"/>
              </w:rPr>
              <w:t>Final path length assessment</w:t>
            </w:r>
          </w:p>
        </w:tc>
        <w:tc>
          <w:tcPr>
            <w:tcW w:w="1984" w:type="dxa"/>
          </w:tcPr>
          <w:p w:rsidR="00343A25" w:rsidRPr="00CC3B2C" w:rsidRDefault="00343A25" w:rsidP="00DD519F">
            <w:pPr>
              <w:rPr>
                <w:sz w:val="20"/>
                <w:szCs w:val="20"/>
              </w:rPr>
            </w:pPr>
            <w:r w:rsidRPr="00CC3B2C">
              <w:rPr>
                <w:sz w:val="20"/>
                <w:szCs w:val="20"/>
              </w:rPr>
              <w:t>Paterson</w:t>
            </w:r>
            <w:r>
              <w:rPr>
                <w:sz w:val="20"/>
                <w:szCs w:val="20"/>
              </w:rPr>
              <w:t xml:space="preserve"> et al</w:t>
            </w:r>
          </w:p>
        </w:tc>
        <w:tc>
          <w:tcPr>
            <w:tcW w:w="1701" w:type="dxa"/>
          </w:tcPr>
          <w:p w:rsidR="00343A25" w:rsidRPr="00CC3B2C" w:rsidRDefault="00343A25" w:rsidP="009E0F5C">
            <w:pPr>
              <w:rPr>
                <w:sz w:val="20"/>
                <w:szCs w:val="20"/>
              </w:rPr>
            </w:pPr>
            <w:r w:rsidRPr="00CC3B2C">
              <w:rPr>
                <w:sz w:val="20"/>
                <w:szCs w:val="20"/>
              </w:rPr>
              <w:t>ACFA/GDE workshop Aril 2012</w:t>
            </w:r>
          </w:p>
        </w:tc>
        <w:tc>
          <w:tcPr>
            <w:tcW w:w="3261" w:type="dxa"/>
          </w:tcPr>
          <w:p w:rsidR="00343A25" w:rsidRPr="00CC3B2C" w:rsidRDefault="00343A25"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Pr>
                <w:sz w:val="20"/>
                <w:szCs w:val="20"/>
              </w:rPr>
              <w:t>27</w:t>
            </w:r>
          </w:p>
        </w:tc>
        <w:tc>
          <w:tcPr>
            <w:tcW w:w="1748" w:type="dxa"/>
          </w:tcPr>
          <w:p w:rsidR="00CC3B2C" w:rsidRPr="00CC3B2C" w:rsidRDefault="00CC3B2C" w:rsidP="009E0F5C">
            <w:pPr>
              <w:rPr>
                <w:sz w:val="20"/>
                <w:szCs w:val="20"/>
              </w:rPr>
            </w:pPr>
            <w:r w:rsidRPr="00CC3B2C">
              <w:rPr>
                <w:sz w:val="20"/>
                <w:szCs w:val="20"/>
              </w:rPr>
              <w:t>Operations and commissioning study.</w:t>
            </w:r>
          </w:p>
        </w:tc>
        <w:tc>
          <w:tcPr>
            <w:tcW w:w="4878" w:type="dxa"/>
          </w:tcPr>
          <w:p w:rsidR="00CC3B2C" w:rsidRPr="00CC3B2C" w:rsidRDefault="00CC3B2C" w:rsidP="00DD519F">
            <w:pPr>
              <w:rPr>
                <w:sz w:val="20"/>
                <w:szCs w:val="20"/>
              </w:rPr>
            </w:pPr>
            <w:r w:rsidRPr="00CC3B2C">
              <w:rPr>
                <w:sz w:val="20"/>
                <w:szCs w:val="20"/>
              </w:rPr>
              <w:t>Write charge for working group</w:t>
            </w:r>
          </w:p>
        </w:tc>
        <w:tc>
          <w:tcPr>
            <w:tcW w:w="1984" w:type="dxa"/>
          </w:tcPr>
          <w:p w:rsidR="00CC3B2C" w:rsidRPr="00CC3B2C" w:rsidRDefault="00CC3B2C" w:rsidP="00DD519F">
            <w:pPr>
              <w:rPr>
                <w:sz w:val="20"/>
                <w:szCs w:val="20"/>
              </w:rPr>
            </w:pPr>
            <w:r w:rsidRPr="00CC3B2C">
              <w:rPr>
                <w:sz w:val="20"/>
                <w:szCs w:val="20"/>
              </w:rPr>
              <w:t>Ross</w:t>
            </w:r>
          </w:p>
        </w:tc>
        <w:tc>
          <w:tcPr>
            <w:tcW w:w="1701" w:type="dxa"/>
          </w:tcPr>
          <w:p w:rsidR="00CC3B2C" w:rsidRPr="00CC3B2C" w:rsidRDefault="00CC3B2C" w:rsidP="009E0F5C">
            <w:pPr>
              <w:rPr>
                <w:sz w:val="20"/>
                <w:szCs w:val="20"/>
              </w:rPr>
            </w:pPr>
            <w:r w:rsidRPr="00CC3B2C">
              <w:rPr>
                <w:sz w:val="20"/>
                <w:szCs w:val="20"/>
              </w:rPr>
              <w:t>Nov. 2011</w:t>
            </w:r>
          </w:p>
        </w:tc>
        <w:tc>
          <w:tcPr>
            <w:tcW w:w="3261" w:type="dxa"/>
          </w:tcPr>
          <w:p w:rsidR="00CC3B2C" w:rsidRPr="00CC3B2C" w:rsidRDefault="00343A25" w:rsidP="006130E0">
            <w:pPr>
              <w:rPr>
                <w:i/>
                <w:sz w:val="20"/>
                <w:szCs w:val="20"/>
              </w:rPr>
            </w:pPr>
            <w:r>
              <w:rPr>
                <w:i/>
                <w:sz w:val="20"/>
                <w:szCs w:val="20"/>
              </w:rPr>
              <w:t>Need for this study was highlighted by the aux. source parameters and the need for a comprehensive review of all the dump systems.</w:t>
            </w:r>
          </w:p>
        </w:tc>
      </w:tr>
      <w:tr w:rsidR="00CC3B2C" w:rsidRPr="00CC3B2C" w:rsidTr="00CC3B2C">
        <w:tc>
          <w:tcPr>
            <w:tcW w:w="570" w:type="dxa"/>
          </w:tcPr>
          <w:p w:rsidR="00CC3B2C" w:rsidRPr="00CC3B2C" w:rsidRDefault="00CC3B2C" w:rsidP="009E0F5C">
            <w:pPr>
              <w:rPr>
                <w:sz w:val="20"/>
                <w:szCs w:val="20"/>
              </w:rPr>
            </w:pPr>
            <w:r>
              <w:rPr>
                <w:sz w:val="20"/>
                <w:szCs w:val="20"/>
              </w:rPr>
              <w:t>28</w:t>
            </w:r>
          </w:p>
        </w:tc>
        <w:tc>
          <w:tcPr>
            <w:tcW w:w="1748" w:type="dxa"/>
          </w:tcPr>
          <w:p w:rsidR="00CC3B2C" w:rsidRPr="00CC3B2C" w:rsidRDefault="00CC3B2C" w:rsidP="009E0F5C">
            <w:pPr>
              <w:rPr>
                <w:sz w:val="20"/>
                <w:szCs w:val="20"/>
              </w:rPr>
            </w:pPr>
          </w:p>
        </w:tc>
        <w:tc>
          <w:tcPr>
            <w:tcW w:w="4878" w:type="dxa"/>
          </w:tcPr>
          <w:p w:rsidR="00CC3B2C" w:rsidRPr="00CC3B2C" w:rsidRDefault="00CC3B2C" w:rsidP="00DD519F">
            <w:pPr>
              <w:rPr>
                <w:sz w:val="20"/>
                <w:szCs w:val="20"/>
              </w:rPr>
            </w:pPr>
            <w:r w:rsidRPr="00CC3B2C">
              <w:rPr>
                <w:sz w:val="20"/>
                <w:szCs w:val="20"/>
              </w:rPr>
              <w:t>Identify WG members</w:t>
            </w:r>
          </w:p>
        </w:tc>
        <w:tc>
          <w:tcPr>
            <w:tcW w:w="1984" w:type="dxa"/>
          </w:tcPr>
          <w:p w:rsidR="00CC3B2C" w:rsidRPr="00CC3B2C" w:rsidRDefault="00CC3B2C" w:rsidP="00DD519F">
            <w:pPr>
              <w:rPr>
                <w:sz w:val="20"/>
                <w:szCs w:val="20"/>
              </w:rPr>
            </w:pPr>
            <w:r w:rsidRPr="00CC3B2C">
              <w:rPr>
                <w:sz w:val="20"/>
                <w:szCs w:val="20"/>
              </w:rPr>
              <w:t>PMs</w:t>
            </w:r>
          </w:p>
        </w:tc>
        <w:tc>
          <w:tcPr>
            <w:tcW w:w="1701" w:type="dxa"/>
          </w:tcPr>
          <w:p w:rsidR="00CC3B2C" w:rsidRPr="00CC3B2C" w:rsidRDefault="00CC3B2C" w:rsidP="009E0F5C">
            <w:pPr>
              <w:rPr>
                <w:sz w:val="20"/>
                <w:szCs w:val="20"/>
              </w:rPr>
            </w:pPr>
            <w:r w:rsidRPr="00CC3B2C">
              <w:rPr>
                <w:sz w:val="20"/>
                <w:szCs w:val="20"/>
              </w:rPr>
              <w:t>Dec. 2011</w:t>
            </w:r>
          </w:p>
        </w:tc>
        <w:tc>
          <w:tcPr>
            <w:tcW w:w="3261" w:type="dxa"/>
          </w:tcPr>
          <w:p w:rsidR="00CC3B2C" w:rsidRPr="00CC3B2C" w:rsidRDefault="00CC3B2C" w:rsidP="009E0F5C">
            <w:pPr>
              <w:rPr>
                <w:i/>
                <w:sz w:val="20"/>
                <w:szCs w:val="20"/>
              </w:rPr>
            </w:pPr>
          </w:p>
        </w:tc>
      </w:tr>
      <w:tr w:rsidR="00CC3B2C" w:rsidRPr="00CC3B2C" w:rsidTr="00CC3B2C">
        <w:tc>
          <w:tcPr>
            <w:tcW w:w="570" w:type="dxa"/>
          </w:tcPr>
          <w:p w:rsidR="00CC3B2C" w:rsidRPr="00CC3B2C" w:rsidRDefault="00CC3B2C" w:rsidP="009E0F5C">
            <w:pPr>
              <w:rPr>
                <w:sz w:val="20"/>
                <w:szCs w:val="20"/>
              </w:rPr>
            </w:pPr>
            <w:r>
              <w:rPr>
                <w:sz w:val="20"/>
                <w:szCs w:val="20"/>
              </w:rPr>
              <w:t>29</w:t>
            </w:r>
          </w:p>
        </w:tc>
        <w:tc>
          <w:tcPr>
            <w:tcW w:w="1748" w:type="dxa"/>
          </w:tcPr>
          <w:p w:rsidR="00CC3B2C" w:rsidRPr="00CC3B2C" w:rsidRDefault="00CC3B2C" w:rsidP="009E0F5C">
            <w:pPr>
              <w:rPr>
                <w:sz w:val="20"/>
                <w:szCs w:val="20"/>
              </w:rPr>
            </w:pPr>
          </w:p>
        </w:tc>
        <w:tc>
          <w:tcPr>
            <w:tcW w:w="4878" w:type="dxa"/>
          </w:tcPr>
          <w:p w:rsidR="00CC3B2C" w:rsidRPr="00CC3B2C" w:rsidRDefault="00CC3B2C" w:rsidP="00DD519F">
            <w:pPr>
              <w:rPr>
                <w:sz w:val="20"/>
                <w:szCs w:val="20"/>
              </w:rPr>
            </w:pPr>
            <w:r w:rsidRPr="00CC3B2C">
              <w:rPr>
                <w:sz w:val="20"/>
                <w:szCs w:val="20"/>
              </w:rPr>
              <w:t>Final report</w:t>
            </w:r>
          </w:p>
        </w:tc>
        <w:tc>
          <w:tcPr>
            <w:tcW w:w="1984" w:type="dxa"/>
          </w:tcPr>
          <w:p w:rsidR="00CC3B2C" w:rsidRPr="00CC3B2C" w:rsidRDefault="00CC3B2C" w:rsidP="00DD519F">
            <w:pPr>
              <w:rPr>
                <w:sz w:val="20"/>
                <w:szCs w:val="20"/>
              </w:rPr>
            </w:pPr>
            <w:r w:rsidRPr="00CC3B2C">
              <w:rPr>
                <w:sz w:val="20"/>
                <w:szCs w:val="20"/>
              </w:rPr>
              <w:t>WG (PMs)</w:t>
            </w:r>
          </w:p>
        </w:tc>
        <w:tc>
          <w:tcPr>
            <w:tcW w:w="1701" w:type="dxa"/>
          </w:tcPr>
          <w:p w:rsidR="00CC3B2C" w:rsidRPr="00CC3B2C" w:rsidRDefault="00CC3B2C" w:rsidP="009E0F5C">
            <w:pPr>
              <w:rPr>
                <w:sz w:val="20"/>
                <w:szCs w:val="20"/>
              </w:rPr>
            </w:pPr>
            <w:r w:rsidRPr="00CC3B2C">
              <w:rPr>
                <w:sz w:val="20"/>
                <w:szCs w:val="20"/>
              </w:rPr>
              <w:t>ACFA/GDE workshop April 2012</w:t>
            </w:r>
          </w:p>
        </w:tc>
        <w:tc>
          <w:tcPr>
            <w:tcW w:w="3261" w:type="dxa"/>
          </w:tcPr>
          <w:p w:rsidR="00CC3B2C" w:rsidRPr="00CC3B2C" w:rsidRDefault="00CC3B2C" w:rsidP="009E0F5C">
            <w:pPr>
              <w:rPr>
                <w:i/>
                <w:sz w:val="20"/>
                <w:szCs w:val="20"/>
              </w:rPr>
            </w:pPr>
          </w:p>
        </w:tc>
      </w:tr>
    </w:tbl>
    <w:p w:rsidR="009E0F5C" w:rsidRPr="009E0F5C" w:rsidRDefault="009E0F5C" w:rsidP="009E0F5C"/>
    <w:p w:rsidR="00833DD5" w:rsidRDefault="00833DD5"/>
    <w:sectPr w:rsidR="00833DD5" w:rsidSect="00CC3B2C">
      <w:pgSz w:w="16840" w:h="11900" w:orient="landscape"/>
      <w:pgMar w:top="1800" w:right="1440" w:bottom="1800" w:left="144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394" w:rsidRDefault="00D72394" w:rsidP="00E63C14">
      <w:r>
        <w:separator/>
      </w:r>
    </w:p>
  </w:endnote>
  <w:endnote w:type="continuationSeparator" w:id="0">
    <w:p w:rsidR="00D72394" w:rsidRDefault="00D72394" w:rsidP="00E6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394" w:rsidRDefault="00D72394" w:rsidP="00E63C14">
      <w:r>
        <w:separator/>
      </w:r>
    </w:p>
  </w:footnote>
  <w:footnote w:type="continuationSeparator" w:id="0">
    <w:p w:rsidR="00D72394" w:rsidRDefault="00D72394" w:rsidP="00E63C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C14" w:rsidRDefault="00E63C14">
    <w:pPr>
      <w:pStyle w:val="Header"/>
    </w:pPr>
    <w:r>
      <w:rPr>
        <w:noProof/>
        <w:lang w:val="en-US"/>
      </w:rPr>
      <mc:AlternateContent>
        <mc:Choice Requires="wps">
          <w:drawing>
            <wp:anchor distT="0" distB="0" distL="114300" distR="114300" simplePos="0" relativeHeight="251659264" behindDoc="0" locked="0" layoutInCell="1" allowOverlap="1" wp14:anchorId="0C5EBDD0" wp14:editId="29A48F88">
              <wp:simplePos x="0" y="0"/>
              <wp:positionH relativeFrom="column">
                <wp:posOffset>-914400</wp:posOffset>
              </wp:positionH>
              <wp:positionV relativeFrom="paragraph">
                <wp:posOffset>4122420</wp:posOffset>
              </wp:positionV>
              <wp:extent cx="685800" cy="14795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85800" cy="14795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E63C14" w:rsidRPr="00E63C14" w:rsidRDefault="00E63C14">
                          <w:pPr>
                            <w:rPr>
                              <w:color w:val="A6A6A6" w:themeColor="background1" w:themeShade="A6"/>
                              <w:sz w:val="72"/>
                              <w:szCs w:val="72"/>
                            </w:rPr>
                          </w:pPr>
                          <w:r w:rsidRPr="00E63C14">
                            <w:rPr>
                              <w:color w:val="A6A6A6" w:themeColor="background1" w:themeShade="A6"/>
                              <w:sz w:val="72"/>
                              <w:szCs w:val="72"/>
                            </w:rPr>
                            <w:t>DRAFT</w:t>
                          </w:r>
                        </w:p>
                      </w:txbxContent>
                    </wps:txbx>
                    <wps:bodyPr rot="0" spcFirstLastPara="0" vertOverflow="overflow" horzOverflow="overflow" vert="vert270"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71.95pt;margin-top:324.6pt;width:54pt;height:116.5pt;z-index:25165926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" filled="f" stroked="f">
              <v:textbox style="layout-flow:vertical;mso-layout-flow-alt:bottom-to-top">
                <w:txbxContent>
                  <w:p w:rsidR="00E63C14" w:rsidRPr="00E63C14" w:rsidRDefault="00E63C14">
                    <w:pPr>
                      <w:rPr>
                        <w:color w:val="A6A6A6" w:themeColor="background1" w:themeShade="A6"/>
                        <w:sz w:val="72"/>
                        <w:szCs w:val="72"/>
                      </w:rPr>
                    </w:pPr>
                    <w:r w:rsidRPr="00E63C14">
                      <w:rPr>
                        <w:color w:val="A6A6A6" w:themeColor="background1" w:themeShade="A6"/>
                        <w:sz w:val="72"/>
                        <w:szCs w:val="72"/>
                      </w:rPr>
                      <w:t>DRAFT</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513F"/>
    <w:multiLevelType w:val="hybridMultilevel"/>
    <w:tmpl w:val="2966A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36CA6"/>
    <w:multiLevelType w:val="hybridMultilevel"/>
    <w:tmpl w:val="DE00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8C1180"/>
    <w:multiLevelType w:val="hybridMultilevel"/>
    <w:tmpl w:val="11F2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856F39"/>
    <w:multiLevelType w:val="hybridMultilevel"/>
    <w:tmpl w:val="71927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7"/>
  <w:embedSystemFonts/>
  <w:proofState w:spelling="clean"/>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DD5"/>
    <w:rsid w:val="000362C1"/>
    <w:rsid w:val="00047BF4"/>
    <w:rsid w:val="00126A58"/>
    <w:rsid w:val="00160C1E"/>
    <w:rsid w:val="00166EFF"/>
    <w:rsid w:val="001A1E95"/>
    <w:rsid w:val="00230184"/>
    <w:rsid w:val="00293038"/>
    <w:rsid w:val="00343A25"/>
    <w:rsid w:val="00412291"/>
    <w:rsid w:val="004315C0"/>
    <w:rsid w:val="004B5ECC"/>
    <w:rsid w:val="005521C0"/>
    <w:rsid w:val="005A6D06"/>
    <w:rsid w:val="006130E0"/>
    <w:rsid w:val="00683530"/>
    <w:rsid w:val="00780E65"/>
    <w:rsid w:val="008217AD"/>
    <w:rsid w:val="00833DD5"/>
    <w:rsid w:val="008352C1"/>
    <w:rsid w:val="008D3C48"/>
    <w:rsid w:val="0091617E"/>
    <w:rsid w:val="00980AF9"/>
    <w:rsid w:val="009E0F5C"/>
    <w:rsid w:val="00A1030C"/>
    <w:rsid w:val="00A30B79"/>
    <w:rsid w:val="00A918F7"/>
    <w:rsid w:val="00B2635E"/>
    <w:rsid w:val="00B87737"/>
    <w:rsid w:val="00BC0A3F"/>
    <w:rsid w:val="00BE5774"/>
    <w:rsid w:val="00C040D3"/>
    <w:rsid w:val="00C643C0"/>
    <w:rsid w:val="00CC3B2C"/>
    <w:rsid w:val="00D534C2"/>
    <w:rsid w:val="00D56486"/>
    <w:rsid w:val="00D72394"/>
    <w:rsid w:val="00DA592E"/>
    <w:rsid w:val="00DB51BE"/>
    <w:rsid w:val="00DD519F"/>
    <w:rsid w:val="00E04FCD"/>
    <w:rsid w:val="00E63C14"/>
    <w:rsid w:val="00E64080"/>
    <w:rsid w:val="00E66680"/>
    <w:rsid w:val="00F83FFA"/>
    <w:rsid w:val="00FE188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53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33DD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3D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33DD5"/>
    <w:rPr>
      <w:rFonts w:asciiTheme="majorHAnsi" w:eastAsiaTheme="majorEastAsia" w:hAnsiTheme="majorHAnsi" w:cstheme="majorBidi"/>
      <w:color w:val="17365D" w:themeColor="text2" w:themeShade="BF"/>
      <w:spacing w:val="5"/>
      <w:kern w:val="28"/>
      <w:sz w:val="52"/>
      <w:szCs w:val="52"/>
      <w:lang w:val="en-GB"/>
    </w:rPr>
  </w:style>
  <w:style w:type="character" w:customStyle="1" w:styleId="Heading1Char">
    <w:name w:val="Heading 1 Char"/>
    <w:basedOn w:val="DefaultParagraphFont"/>
    <w:link w:val="Heading1"/>
    <w:uiPriority w:val="9"/>
    <w:rsid w:val="00833DD5"/>
    <w:rPr>
      <w:rFonts w:asciiTheme="majorHAnsi" w:eastAsiaTheme="majorEastAsia" w:hAnsiTheme="majorHAnsi" w:cstheme="majorBidi"/>
      <w:b/>
      <w:bCs/>
      <w:color w:val="345A8A" w:themeColor="accent1" w:themeShade="B5"/>
      <w:sz w:val="32"/>
      <w:szCs w:val="32"/>
      <w:lang w:val="en-GB"/>
    </w:rPr>
  </w:style>
  <w:style w:type="paragraph" w:styleId="ListParagraph">
    <w:name w:val="List Paragraph"/>
    <w:basedOn w:val="Normal"/>
    <w:uiPriority w:val="34"/>
    <w:qFormat/>
    <w:rsid w:val="00833DD5"/>
    <w:pPr>
      <w:ind w:left="720"/>
      <w:contextualSpacing/>
    </w:pPr>
  </w:style>
  <w:style w:type="character" w:styleId="Hyperlink">
    <w:name w:val="Hyperlink"/>
    <w:basedOn w:val="DefaultParagraphFont"/>
    <w:uiPriority w:val="99"/>
    <w:unhideWhenUsed/>
    <w:rsid w:val="00B2635E"/>
    <w:rPr>
      <w:color w:val="0000FF" w:themeColor="hyperlink"/>
      <w:u w:val="single"/>
    </w:rPr>
  </w:style>
  <w:style w:type="table" w:styleId="TableGrid">
    <w:name w:val="Table Grid"/>
    <w:basedOn w:val="TableNormal"/>
    <w:uiPriority w:val="59"/>
    <w:rsid w:val="00166E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63C14"/>
    <w:pPr>
      <w:tabs>
        <w:tab w:val="center" w:pos="4320"/>
        <w:tab w:val="right" w:pos="8640"/>
      </w:tabs>
    </w:pPr>
  </w:style>
  <w:style w:type="character" w:customStyle="1" w:styleId="HeaderChar">
    <w:name w:val="Header Char"/>
    <w:basedOn w:val="DefaultParagraphFont"/>
    <w:link w:val="Header"/>
    <w:uiPriority w:val="99"/>
    <w:rsid w:val="00E63C14"/>
    <w:rPr>
      <w:lang w:val="en-GB"/>
    </w:rPr>
  </w:style>
  <w:style w:type="paragraph" w:styleId="Footer">
    <w:name w:val="footer"/>
    <w:basedOn w:val="Normal"/>
    <w:link w:val="FooterChar"/>
    <w:uiPriority w:val="99"/>
    <w:unhideWhenUsed/>
    <w:rsid w:val="00E63C14"/>
    <w:pPr>
      <w:tabs>
        <w:tab w:val="center" w:pos="4320"/>
        <w:tab w:val="right" w:pos="8640"/>
      </w:tabs>
    </w:pPr>
  </w:style>
  <w:style w:type="character" w:customStyle="1" w:styleId="FooterChar">
    <w:name w:val="Footer Char"/>
    <w:basedOn w:val="DefaultParagraphFont"/>
    <w:link w:val="Footer"/>
    <w:uiPriority w:val="99"/>
    <w:rsid w:val="00E63C14"/>
    <w:rPr>
      <w:lang w:val="en-GB"/>
    </w:rPr>
  </w:style>
  <w:style w:type="paragraph" w:styleId="BalloonText">
    <w:name w:val="Balloon Text"/>
    <w:basedOn w:val="Normal"/>
    <w:link w:val="BalloonTextChar"/>
    <w:uiPriority w:val="99"/>
    <w:semiHidden/>
    <w:unhideWhenUsed/>
    <w:rsid w:val="005A6D06"/>
    <w:rPr>
      <w:rFonts w:ascii="Lucida Grande" w:hAnsi="Lucida Grande"/>
      <w:sz w:val="18"/>
      <w:szCs w:val="18"/>
    </w:rPr>
  </w:style>
  <w:style w:type="character" w:customStyle="1" w:styleId="BalloonTextChar">
    <w:name w:val="Balloon Text Char"/>
    <w:basedOn w:val="DefaultParagraphFont"/>
    <w:link w:val="BalloonText"/>
    <w:uiPriority w:val="99"/>
    <w:semiHidden/>
    <w:rsid w:val="005A6D06"/>
    <w:rPr>
      <w:rFonts w:ascii="Lucida Grande" w:hAnsi="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33DD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3D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33DD5"/>
    <w:rPr>
      <w:rFonts w:asciiTheme="majorHAnsi" w:eastAsiaTheme="majorEastAsia" w:hAnsiTheme="majorHAnsi" w:cstheme="majorBidi"/>
      <w:color w:val="17365D" w:themeColor="text2" w:themeShade="BF"/>
      <w:spacing w:val="5"/>
      <w:kern w:val="28"/>
      <w:sz w:val="52"/>
      <w:szCs w:val="52"/>
      <w:lang w:val="en-GB"/>
    </w:rPr>
  </w:style>
  <w:style w:type="character" w:customStyle="1" w:styleId="Heading1Char">
    <w:name w:val="Heading 1 Char"/>
    <w:basedOn w:val="DefaultParagraphFont"/>
    <w:link w:val="Heading1"/>
    <w:uiPriority w:val="9"/>
    <w:rsid w:val="00833DD5"/>
    <w:rPr>
      <w:rFonts w:asciiTheme="majorHAnsi" w:eastAsiaTheme="majorEastAsia" w:hAnsiTheme="majorHAnsi" w:cstheme="majorBidi"/>
      <w:b/>
      <w:bCs/>
      <w:color w:val="345A8A" w:themeColor="accent1" w:themeShade="B5"/>
      <w:sz w:val="32"/>
      <w:szCs w:val="32"/>
      <w:lang w:val="en-GB"/>
    </w:rPr>
  </w:style>
  <w:style w:type="paragraph" w:styleId="ListParagraph">
    <w:name w:val="List Paragraph"/>
    <w:basedOn w:val="Normal"/>
    <w:uiPriority w:val="34"/>
    <w:qFormat/>
    <w:rsid w:val="00833DD5"/>
    <w:pPr>
      <w:ind w:left="720"/>
      <w:contextualSpacing/>
    </w:pPr>
  </w:style>
  <w:style w:type="character" w:styleId="Hyperlink">
    <w:name w:val="Hyperlink"/>
    <w:basedOn w:val="DefaultParagraphFont"/>
    <w:uiPriority w:val="99"/>
    <w:unhideWhenUsed/>
    <w:rsid w:val="00B2635E"/>
    <w:rPr>
      <w:color w:val="0000FF" w:themeColor="hyperlink"/>
      <w:u w:val="single"/>
    </w:rPr>
  </w:style>
  <w:style w:type="table" w:styleId="TableGrid">
    <w:name w:val="Table Grid"/>
    <w:basedOn w:val="TableNormal"/>
    <w:uiPriority w:val="59"/>
    <w:rsid w:val="00166E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63C14"/>
    <w:pPr>
      <w:tabs>
        <w:tab w:val="center" w:pos="4320"/>
        <w:tab w:val="right" w:pos="8640"/>
      </w:tabs>
    </w:pPr>
  </w:style>
  <w:style w:type="character" w:customStyle="1" w:styleId="HeaderChar">
    <w:name w:val="Header Char"/>
    <w:basedOn w:val="DefaultParagraphFont"/>
    <w:link w:val="Header"/>
    <w:uiPriority w:val="99"/>
    <w:rsid w:val="00E63C14"/>
    <w:rPr>
      <w:lang w:val="en-GB"/>
    </w:rPr>
  </w:style>
  <w:style w:type="paragraph" w:styleId="Footer">
    <w:name w:val="footer"/>
    <w:basedOn w:val="Normal"/>
    <w:link w:val="FooterChar"/>
    <w:uiPriority w:val="99"/>
    <w:unhideWhenUsed/>
    <w:rsid w:val="00E63C14"/>
    <w:pPr>
      <w:tabs>
        <w:tab w:val="center" w:pos="4320"/>
        <w:tab w:val="right" w:pos="8640"/>
      </w:tabs>
    </w:pPr>
  </w:style>
  <w:style w:type="character" w:customStyle="1" w:styleId="FooterChar">
    <w:name w:val="Footer Char"/>
    <w:basedOn w:val="DefaultParagraphFont"/>
    <w:link w:val="Footer"/>
    <w:uiPriority w:val="99"/>
    <w:rsid w:val="00E63C14"/>
    <w:rPr>
      <w:lang w:val="en-GB"/>
    </w:rPr>
  </w:style>
  <w:style w:type="paragraph" w:styleId="BalloonText">
    <w:name w:val="Balloon Text"/>
    <w:basedOn w:val="Normal"/>
    <w:link w:val="BalloonTextChar"/>
    <w:uiPriority w:val="99"/>
    <w:semiHidden/>
    <w:unhideWhenUsed/>
    <w:rsid w:val="005A6D06"/>
    <w:rPr>
      <w:rFonts w:ascii="Lucida Grande" w:hAnsi="Lucida Grande"/>
      <w:sz w:val="18"/>
      <w:szCs w:val="18"/>
    </w:rPr>
  </w:style>
  <w:style w:type="character" w:customStyle="1" w:styleId="BalloonTextChar">
    <w:name w:val="Balloon Text Char"/>
    <w:basedOn w:val="DefaultParagraphFont"/>
    <w:link w:val="BalloonText"/>
    <w:uiPriority w:val="99"/>
    <w:semiHidden/>
    <w:rsid w:val="005A6D06"/>
    <w:rPr>
      <w:rFonts w:ascii="Lucida Grande" w:hAnsi="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ilcagenda.linearcollider.org/conferenceOtherViews.py?showSession=all&amp;showDate=all&amp;view=standard&amp;fr=no&amp;confId=5222"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1725</Words>
  <Characters>9836</Characters>
  <Application>Microsoft Macintosh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DESY</Company>
  <LinksUpToDate>false</LinksUpToDate>
  <CharactersWithSpaces>11538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Walker</dc:creator>
  <cp:keywords/>
  <dc:description/>
  <cp:lastModifiedBy>Nicholas Walker</cp:lastModifiedBy>
  <cp:revision>16</cp:revision>
  <dcterms:created xsi:type="dcterms:W3CDTF">2011-10-31T10:29:00Z</dcterms:created>
  <dcterms:modified xsi:type="dcterms:W3CDTF">2011-11-01T10:39:00Z</dcterms:modified>
</cp:coreProperties>
</file>